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8788D7">
      <w:pPr>
        <w:pStyle w:val="2"/>
        <w:widowControl/>
        <w:spacing w:beforeAutospacing="0" w:afterAutospacing="0" w:line="580" w:lineRule="exact"/>
        <w:jc w:val="center"/>
        <w:rPr>
          <w:rStyle w:val="13"/>
          <w:rFonts w:hint="default" w:ascii="方正小标宋简体" w:hAnsi="方正小标宋简体" w:eastAsia="方正小标宋简体" w:cs="方正小标宋简体"/>
          <w:b w:val="0"/>
          <w:sz w:val="44"/>
          <w:szCs w:val="44"/>
        </w:rPr>
      </w:pPr>
      <w:r>
        <w:rPr>
          <w:rStyle w:val="13"/>
          <w:rFonts w:ascii="方正小标宋简体" w:hAnsi="方正小标宋简体" w:eastAsia="方正小标宋简体" w:cs="方正小标宋简体"/>
          <w:b w:val="0"/>
          <w:sz w:val="44"/>
          <w:szCs w:val="44"/>
        </w:rPr>
        <w:t>内黄县教育局</w:t>
      </w:r>
    </w:p>
    <w:p w14:paraId="0728FF41">
      <w:pPr>
        <w:pStyle w:val="2"/>
        <w:widowControl/>
        <w:spacing w:beforeAutospacing="0" w:afterAutospacing="0" w:line="580" w:lineRule="exact"/>
        <w:jc w:val="center"/>
        <w:rPr>
          <w:rStyle w:val="13"/>
          <w:rFonts w:hint="default" w:ascii="方正小标宋简体" w:hAnsi="方正小标宋简体" w:eastAsia="方正小标宋简体" w:cs="方正小标宋简体"/>
          <w:b w:val="0"/>
          <w:sz w:val="44"/>
          <w:szCs w:val="44"/>
        </w:rPr>
      </w:pPr>
      <w:r>
        <w:rPr>
          <w:rStyle w:val="13"/>
          <w:rFonts w:ascii="方正小标宋简体" w:hAnsi="方正小标宋简体" w:eastAsia="方正小标宋简体" w:cs="方正小标宋简体"/>
          <w:b w:val="0"/>
          <w:sz w:val="44"/>
          <w:szCs w:val="44"/>
        </w:rPr>
        <w:t>关于202</w:t>
      </w:r>
      <w:r>
        <w:rPr>
          <w:rStyle w:val="13"/>
          <w:rFonts w:hint="eastAsia" w:ascii="方正小标宋简体" w:hAnsi="方正小标宋简体" w:eastAsia="方正小标宋简体" w:cs="方正小标宋简体"/>
          <w:b w:val="0"/>
          <w:sz w:val="44"/>
          <w:szCs w:val="44"/>
          <w:lang w:val="en-US" w:eastAsia="zh-CN"/>
        </w:rPr>
        <w:t>4</w:t>
      </w:r>
      <w:r>
        <w:rPr>
          <w:rStyle w:val="13"/>
          <w:rFonts w:ascii="方正小标宋简体" w:hAnsi="方正小标宋简体" w:eastAsia="方正小标宋简体" w:cs="方正小标宋简体"/>
          <w:b w:val="0"/>
          <w:sz w:val="44"/>
          <w:szCs w:val="44"/>
        </w:rPr>
        <w:t>年各级各类学校教育教学质量</w:t>
      </w:r>
    </w:p>
    <w:p w14:paraId="500C8DCD">
      <w:pPr>
        <w:pStyle w:val="2"/>
        <w:widowControl/>
        <w:spacing w:beforeAutospacing="0" w:afterAutospacing="0" w:line="580" w:lineRule="exact"/>
        <w:jc w:val="center"/>
        <w:rPr>
          <w:rFonts w:hint="default"/>
          <w:sz w:val="54"/>
          <w:szCs w:val="54"/>
        </w:rPr>
      </w:pPr>
      <w:r>
        <w:rPr>
          <w:rStyle w:val="13"/>
          <w:rFonts w:ascii="方正小标宋简体" w:hAnsi="方正小标宋简体" w:eastAsia="方正小标宋简体" w:cs="方正小标宋简体"/>
          <w:b w:val="0"/>
          <w:sz w:val="44"/>
          <w:szCs w:val="44"/>
        </w:rPr>
        <w:t>年度报告</w:t>
      </w:r>
    </w:p>
    <w:p w14:paraId="2C19FBED">
      <w:pPr>
        <w:pStyle w:val="9"/>
        <w:widowControl/>
        <w:spacing w:beforeAutospacing="0" w:afterAutospacing="0" w:line="560" w:lineRule="exact"/>
        <w:ind w:firstLine="555"/>
        <w:rPr>
          <w:rFonts w:ascii="仿宋" w:hAnsi="仿宋" w:eastAsia="仿宋" w:cs="仿宋"/>
          <w:sz w:val="32"/>
          <w:szCs w:val="32"/>
        </w:rPr>
      </w:pPr>
    </w:p>
    <w:p w14:paraId="1DB03F4C">
      <w:pPr>
        <w:pStyle w:val="9"/>
        <w:widowControl/>
        <w:spacing w:beforeAutospacing="0" w:afterAutospacing="0" w:line="560" w:lineRule="exact"/>
        <w:ind w:firstLine="640" w:firstLineChars="200"/>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年，内黄县教育局在县委、县政府的坚强领导下，在上级教育行政部门的正确指导下，</w:t>
      </w:r>
      <w:r>
        <w:rPr>
          <w:rFonts w:hint="eastAsia" w:ascii="仿宋" w:hAnsi="仿宋" w:eastAsia="仿宋" w:cs="仿宋"/>
          <w:sz w:val="32"/>
          <w:szCs w:val="32"/>
          <w:lang w:eastAsia="zh-CN"/>
        </w:rPr>
        <w:t>全面</w:t>
      </w:r>
      <w:r>
        <w:rPr>
          <w:rFonts w:hint="eastAsia" w:ascii="仿宋" w:hAnsi="仿宋" w:eastAsia="仿宋" w:cs="仿宋"/>
          <w:sz w:val="32"/>
          <w:szCs w:val="32"/>
        </w:rPr>
        <w:t>贯彻党的教育方针，</w:t>
      </w:r>
      <w:r>
        <w:rPr>
          <w:rFonts w:hint="eastAsia" w:ascii="仿宋" w:hAnsi="仿宋" w:eastAsia="仿宋" w:cs="仿宋"/>
          <w:sz w:val="32"/>
          <w:szCs w:val="32"/>
          <w:lang w:eastAsia="zh-CN"/>
        </w:rPr>
        <w:t>认真</w:t>
      </w:r>
      <w:r>
        <w:rPr>
          <w:rFonts w:hint="eastAsia" w:ascii="仿宋" w:hAnsi="仿宋" w:eastAsia="仿宋" w:cs="仿宋"/>
          <w:sz w:val="32"/>
          <w:szCs w:val="32"/>
        </w:rPr>
        <w:t>落实立德树人根本任务，</w:t>
      </w:r>
      <w:r>
        <w:rPr>
          <w:rFonts w:hint="eastAsia" w:ascii="仿宋" w:hAnsi="仿宋" w:eastAsia="仿宋" w:cs="仿宋"/>
          <w:sz w:val="32"/>
          <w:szCs w:val="32"/>
          <w:lang w:eastAsia="zh-CN"/>
        </w:rPr>
        <w:t>紧紧</w:t>
      </w:r>
      <w:r>
        <w:rPr>
          <w:rFonts w:hint="eastAsia" w:ascii="仿宋_GB2312" w:eastAsia="仿宋_GB2312"/>
          <w:sz w:val="32"/>
          <w:szCs w:val="32"/>
        </w:rPr>
        <w:t>围绕</w:t>
      </w:r>
      <w:r>
        <w:rPr>
          <w:rFonts w:hint="eastAsia" w:ascii="仿宋_GB2312" w:eastAsia="仿宋_GB2312"/>
          <w:sz w:val="32"/>
          <w:szCs w:val="32"/>
          <w:lang w:eastAsia="zh-CN"/>
        </w:rPr>
        <w:t>年初局党组</w:t>
      </w:r>
      <w:r>
        <w:rPr>
          <w:rFonts w:hint="eastAsia" w:ascii="仿宋_GB2312" w:eastAsia="仿宋_GB2312"/>
          <w:sz w:val="32"/>
          <w:szCs w:val="32"/>
        </w:rPr>
        <w:t>“16531”工作部署，</w:t>
      </w:r>
      <w:r>
        <w:rPr>
          <w:rFonts w:hint="eastAsia" w:ascii="仿宋" w:hAnsi="仿宋" w:eastAsia="仿宋" w:cs="仿宋"/>
          <w:sz w:val="32"/>
          <w:szCs w:val="32"/>
        </w:rPr>
        <w:t>坚持“五育”并举，</w:t>
      </w:r>
      <w:r>
        <w:rPr>
          <w:rFonts w:hint="eastAsia" w:ascii="仿宋_GB2312" w:eastAsia="仿宋_GB2312"/>
          <w:sz w:val="32"/>
          <w:szCs w:val="32"/>
        </w:rPr>
        <w:t>打造活力校园，</w:t>
      </w:r>
      <w:r>
        <w:rPr>
          <w:rFonts w:hint="eastAsia" w:ascii="仿宋" w:hAnsi="仿宋" w:eastAsia="仿宋" w:cs="仿宋"/>
          <w:sz w:val="32"/>
          <w:szCs w:val="32"/>
        </w:rPr>
        <w:t>狠抓学校管理，深化教学教研，全县各级各类学校教育质量稳步提升。现将</w:t>
      </w:r>
      <w:r>
        <w:rPr>
          <w:rFonts w:hint="eastAsia" w:ascii="仿宋" w:hAnsi="仿宋" w:eastAsia="仿宋" w:cs="仿宋"/>
          <w:sz w:val="32"/>
          <w:szCs w:val="32"/>
          <w:lang w:val="en-US" w:eastAsia="zh-CN"/>
        </w:rPr>
        <w:t>2024年度</w:t>
      </w:r>
      <w:r>
        <w:rPr>
          <w:rFonts w:hint="eastAsia" w:ascii="仿宋" w:hAnsi="仿宋" w:eastAsia="仿宋" w:cs="仿宋"/>
          <w:sz w:val="32"/>
          <w:szCs w:val="32"/>
        </w:rPr>
        <w:t>全</w:t>
      </w:r>
      <w:r>
        <w:rPr>
          <w:rFonts w:hint="eastAsia" w:ascii="仿宋" w:hAnsi="仿宋" w:eastAsia="仿宋" w:cs="仿宋"/>
          <w:sz w:val="32"/>
          <w:szCs w:val="32"/>
          <w:lang w:eastAsia="zh-CN"/>
        </w:rPr>
        <w:t>县</w:t>
      </w:r>
      <w:r>
        <w:rPr>
          <w:rFonts w:hint="eastAsia" w:ascii="仿宋" w:hAnsi="仿宋" w:eastAsia="仿宋" w:cs="仿宋"/>
          <w:sz w:val="32"/>
          <w:szCs w:val="32"/>
        </w:rPr>
        <w:t>教育</w:t>
      </w:r>
      <w:r>
        <w:rPr>
          <w:rFonts w:hint="eastAsia" w:ascii="仿宋" w:hAnsi="仿宋" w:eastAsia="仿宋" w:cs="仿宋"/>
          <w:sz w:val="32"/>
          <w:szCs w:val="32"/>
          <w:lang w:eastAsia="zh-CN"/>
        </w:rPr>
        <w:t>教学</w:t>
      </w:r>
      <w:r>
        <w:rPr>
          <w:rFonts w:hint="eastAsia" w:ascii="仿宋" w:hAnsi="仿宋" w:eastAsia="仿宋" w:cs="仿宋"/>
          <w:sz w:val="32"/>
          <w:szCs w:val="32"/>
        </w:rPr>
        <w:t>质量情况报告如下。</w:t>
      </w:r>
    </w:p>
    <w:p w14:paraId="751DDF46">
      <w:pPr>
        <w:pStyle w:val="9"/>
        <w:widowControl/>
        <w:spacing w:beforeAutospacing="0" w:afterAutospacing="0" w:line="560" w:lineRule="exact"/>
        <w:ind w:firstLine="640" w:firstLineChars="200"/>
        <w:rPr>
          <w:rFonts w:ascii="黑体" w:hAnsi="黑体" w:eastAsia="黑体"/>
          <w:sz w:val="32"/>
          <w:szCs w:val="32"/>
        </w:rPr>
      </w:pPr>
      <w:r>
        <w:rPr>
          <w:rFonts w:hint="eastAsia" w:ascii="黑体" w:hAnsi="黑体" w:eastAsia="黑体" w:cs="黑体"/>
          <w:sz w:val="32"/>
          <w:szCs w:val="32"/>
        </w:rPr>
        <w:t>一、</w:t>
      </w:r>
      <w:r>
        <w:rPr>
          <w:rFonts w:hint="eastAsia" w:ascii="黑体" w:hAnsi="黑体" w:eastAsia="黑体"/>
          <w:sz w:val="32"/>
          <w:szCs w:val="32"/>
        </w:rPr>
        <w:t>保障教育公平，促进义务教育优质均衡发展</w:t>
      </w:r>
    </w:p>
    <w:p w14:paraId="00732433">
      <w:pPr>
        <w:pStyle w:val="9"/>
        <w:widowControl/>
        <w:spacing w:beforeAutospacing="0" w:afterAutospacing="0" w:line="560" w:lineRule="exact"/>
        <w:ind w:firstLine="630"/>
        <w:rPr>
          <w:rFonts w:ascii="楷体_GB2312" w:eastAsia="楷体_GB2312"/>
          <w:color w:val="auto"/>
          <w:sz w:val="32"/>
          <w:szCs w:val="32"/>
        </w:rPr>
      </w:pPr>
      <w:r>
        <w:rPr>
          <w:rFonts w:hint="eastAsia" w:ascii="楷体_GB2312" w:eastAsia="楷体_GB2312"/>
          <w:color w:val="auto"/>
          <w:sz w:val="32"/>
          <w:szCs w:val="32"/>
        </w:rPr>
        <w:t>（一）促进公平，保障适龄儿童入学</w:t>
      </w:r>
    </w:p>
    <w:p w14:paraId="522D9980">
      <w:pPr>
        <w:pStyle w:val="9"/>
        <w:widowControl/>
        <w:spacing w:beforeAutospacing="0" w:afterAutospacing="0" w:line="560" w:lineRule="exact"/>
        <w:ind w:firstLine="630"/>
        <w:rPr>
          <w:rFonts w:ascii="仿宋_GB2312"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1.落实免试就近入学政策。</w:t>
      </w:r>
      <w:r>
        <w:rPr>
          <w:rFonts w:hint="eastAsia" w:ascii="仿宋_GB2312" w:eastAsia="仿宋_GB2312"/>
          <w:color w:val="000000" w:themeColor="text1"/>
          <w:sz w:val="32"/>
          <w:szCs w:val="32"/>
          <w14:textFill>
            <w14:solidFill>
              <w14:schemeClr w14:val="tx1"/>
            </w14:solidFill>
          </w14:textFill>
        </w:rPr>
        <w:t>每年暑假，县教育局印发义务教育学校招生入学文件，严格落实年满6周岁，按照免试就近入学政策，乡镇义务教育学校按照户籍所在学区就近上小学初中，县城区义务教育学校按照招生</w:t>
      </w:r>
      <w:r>
        <w:rPr>
          <w:rFonts w:hint="eastAsia" w:ascii="仿宋_GB2312" w:eastAsia="仿宋_GB2312"/>
          <w:color w:val="000000" w:themeColor="text1"/>
          <w:sz w:val="32"/>
          <w:szCs w:val="32"/>
          <w:lang w:val="en-US" w:eastAsia="zh-CN"/>
          <w14:textFill>
            <w14:solidFill>
              <w14:schemeClr w14:val="tx1"/>
            </w14:solidFill>
          </w14:textFill>
        </w:rPr>
        <w:t>范</w:t>
      </w:r>
      <w:r>
        <w:rPr>
          <w:rFonts w:hint="eastAsia" w:ascii="仿宋_GB2312" w:eastAsia="仿宋_GB2312"/>
          <w:color w:val="000000" w:themeColor="text1"/>
          <w:sz w:val="32"/>
          <w:szCs w:val="32"/>
          <w14:textFill>
            <w14:solidFill>
              <w14:schemeClr w14:val="tx1"/>
            </w14:solidFill>
          </w14:textFill>
        </w:rPr>
        <w:t>围，实行划片招生。202</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年，全县九年义务教育净入学率为100%，确保了全县适龄儿童应入尽入。</w:t>
      </w:r>
    </w:p>
    <w:p w14:paraId="0AB278C2">
      <w:pPr>
        <w:spacing w:line="560" w:lineRule="exact"/>
        <w:ind w:firstLine="643" w:firstLineChars="200"/>
        <w:rPr>
          <w:rFonts w:ascii="仿宋_GB2312" w:eastAsia="仿宋_GB2312"/>
          <w:color w:val="FF0000"/>
          <w:sz w:val="32"/>
          <w:szCs w:val="32"/>
        </w:rPr>
      </w:pPr>
      <w:r>
        <w:rPr>
          <w:rFonts w:hint="eastAsia" w:ascii="仿宋_GB2312" w:eastAsia="仿宋_GB2312"/>
          <w:b/>
          <w:sz w:val="32"/>
          <w:szCs w:val="32"/>
        </w:rPr>
        <w:t>2.建立控辍保学长效机制。</w:t>
      </w:r>
      <w:r>
        <w:rPr>
          <w:rFonts w:hint="eastAsia" w:ascii="仿宋_GB2312" w:eastAsia="仿宋_GB2312"/>
          <w:color w:val="000000" w:themeColor="text1"/>
          <w:sz w:val="32"/>
          <w:szCs w:val="32"/>
          <w14:textFill>
            <w14:solidFill>
              <w14:schemeClr w14:val="tx1"/>
            </w14:solidFill>
          </w14:textFill>
        </w:rPr>
        <w:t>一是实行控辍保学月报制度，利用“中小学生学籍信息管理系统”加强学籍管理，严格遵循“人籍一致，籍随人走”原则，在规定的时限内，及时处理招生入学、转学、升学、休学、复学和信息变更等相关业务。二是开展春季开学控辍保学情况排查工作，对留守儿童、学困生、残疾儿童随班就读、特殊群体等学生进行摸底统计，更新各类档案及数据库，有的放矢开展控辍保学工作。三是健全控辍保学长效机制，按照“一生一案、一生一档”的要求，对全县贫困家庭义务教育阶段学生建立控辍保学台账，加强帮扶力度，开展心理疏导、学业辅导、生活帮助等。四是</w:t>
      </w:r>
      <w:r>
        <w:rPr>
          <w:rFonts w:hint="eastAsia" w:ascii="仿宋_GB2312" w:eastAsia="仿宋_GB2312"/>
          <w:color w:val="000000" w:themeColor="text1"/>
          <w:sz w:val="32"/>
          <w:szCs w:val="32"/>
          <w:lang w:val="en-US" w:eastAsia="zh-CN"/>
          <w14:textFill>
            <w14:solidFill>
              <w14:schemeClr w14:val="tx1"/>
            </w14:solidFill>
          </w14:textFill>
        </w:rPr>
        <w:t>召开控辍保学工作会，强调控辍保学工作重要性，压实控辍保学责任。各乡镇中心校、局属各学校签订控辍保学责任书，持续开展控辍保学工作，</w:t>
      </w:r>
      <w:r>
        <w:rPr>
          <w:rFonts w:hint="eastAsia" w:ascii="仿宋_GB2312" w:eastAsia="仿宋_GB2312"/>
          <w:color w:val="000000" w:themeColor="text1"/>
          <w:sz w:val="32"/>
          <w:szCs w:val="32"/>
          <w14:textFill>
            <w14:solidFill>
              <w14:schemeClr w14:val="tx1"/>
            </w14:solidFill>
          </w14:textFill>
        </w:rPr>
        <w:t>做好法律法规政策宣传，让广大学生家长或法定监护人认识到孩子接受九年义务教育所承担的法律责任和义务。</w:t>
      </w:r>
    </w:p>
    <w:p w14:paraId="32E239EC">
      <w:pPr>
        <w:pStyle w:val="9"/>
        <w:widowControl/>
        <w:spacing w:beforeAutospacing="0" w:afterAutospacing="0" w:line="560" w:lineRule="exact"/>
        <w:ind w:firstLine="630"/>
        <w:rPr>
          <w:rFonts w:hint="eastAsia" w:ascii="仿宋_GB2312" w:eastAsia="仿宋_GB2312"/>
          <w:sz w:val="32"/>
          <w:szCs w:val="32"/>
        </w:rPr>
      </w:pPr>
      <w:r>
        <w:rPr>
          <w:rFonts w:hint="eastAsia" w:ascii="仿宋_GB2312" w:eastAsia="仿宋_GB2312"/>
          <w:b/>
          <w:color w:val="auto"/>
          <w:sz w:val="32"/>
          <w:szCs w:val="32"/>
        </w:rPr>
        <w:t>3.扎实开展送教上门工作。</w:t>
      </w:r>
      <w:r>
        <w:rPr>
          <w:rFonts w:hint="eastAsia" w:ascii="仿宋_GB2312" w:eastAsia="仿宋_GB2312"/>
          <w:sz w:val="32"/>
          <w:szCs w:val="32"/>
          <w:lang w:val="en-US" w:eastAsia="zh-CN"/>
        </w:rPr>
        <w:t>县特殊教育学校</w:t>
      </w:r>
      <w:r>
        <w:rPr>
          <w:rFonts w:hint="eastAsia" w:ascii="仿宋_GB2312" w:eastAsia="仿宋_GB2312"/>
          <w:sz w:val="32"/>
          <w:szCs w:val="32"/>
        </w:rPr>
        <w:t>对全县230余名重度残疾儿童实行送教上门，以</w:t>
      </w:r>
      <w:r>
        <w:rPr>
          <w:rFonts w:hint="eastAsia" w:ascii="仿宋_GB2312" w:eastAsia="仿宋_GB2312"/>
          <w:sz w:val="32"/>
          <w:szCs w:val="32"/>
          <w:lang w:val="en-US" w:eastAsia="zh-CN"/>
        </w:rPr>
        <w:t>激</w:t>
      </w:r>
      <w:r>
        <w:rPr>
          <w:rFonts w:hint="eastAsia" w:ascii="仿宋_GB2312" w:eastAsia="仿宋_GB2312"/>
          <w:sz w:val="32"/>
          <w:szCs w:val="32"/>
        </w:rPr>
        <w:t>发教育潜能，提高认知能力和社会适应能力为宗旨，为学生送知识送康复送经验。</w:t>
      </w:r>
      <w:r>
        <w:rPr>
          <w:rFonts w:hint="eastAsia" w:ascii="仿宋_GB2312" w:eastAsia="仿宋_GB2312"/>
          <w:sz w:val="32"/>
          <w:szCs w:val="32"/>
          <w:lang w:eastAsia="zh-CN"/>
        </w:rPr>
        <w:t>县教育局</w:t>
      </w:r>
      <w:r>
        <w:rPr>
          <w:rFonts w:hint="eastAsia" w:ascii="仿宋_GB2312" w:eastAsia="仿宋_GB2312"/>
          <w:sz w:val="32"/>
          <w:szCs w:val="32"/>
        </w:rPr>
        <w:t>和县有关部门积极对接，完善送教档案。今年端午节、中秋节、分别开展送粽子、送温暖爱心活动，保障了全县三类残疾儿童接受义务教育的权利，进一步促进了教育公平。</w:t>
      </w:r>
    </w:p>
    <w:p w14:paraId="76DE4E61">
      <w:pPr>
        <w:pStyle w:val="9"/>
        <w:widowControl/>
        <w:spacing w:beforeAutospacing="0" w:afterAutospacing="0" w:line="560" w:lineRule="exact"/>
        <w:ind w:firstLine="630"/>
        <w:rPr>
          <w:rFonts w:ascii="楷体_GB2312" w:eastAsia="楷体_GB2312"/>
          <w:sz w:val="32"/>
          <w:szCs w:val="32"/>
        </w:rPr>
      </w:pPr>
      <w:r>
        <w:rPr>
          <w:rFonts w:hint="eastAsia" w:ascii="楷体_GB2312" w:eastAsia="楷体_GB2312"/>
          <w:sz w:val="32"/>
          <w:szCs w:val="32"/>
        </w:rPr>
        <w:t>（二）德育为先，促进全面发展</w:t>
      </w:r>
    </w:p>
    <w:p w14:paraId="6E97B501">
      <w:pPr>
        <w:pStyle w:val="9"/>
        <w:widowControl/>
        <w:spacing w:beforeAutospacing="0" w:afterAutospacing="0" w:line="560" w:lineRule="exact"/>
        <w:ind w:firstLine="630"/>
        <w:rPr>
          <w:rFonts w:hint="eastAsia" w:ascii="仿宋_GB2312" w:eastAsia="仿宋_GB2312"/>
          <w:color w:val="auto"/>
          <w:sz w:val="32"/>
          <w:szCs w:val="32"/>
          <w:lang w:eastAsia="zh-CN"/>
        </w:rPr>
      </w:pPr>
      <w:r>
        <w:rPr>
          <w:rFonts w:hint="eastAsia" w:ascii="仿宋_GB2312" w:eastAsia="仿宋_GB2312"/>
          <w:b/>
          <w:color w:val="auto"/>
          <w:sz w:val="32"/>
          <w:szCs w:val="32"/>
        </w:rPr>
        <w:t>1.高效开展德育活动。</w:t>
      </w:r>
      <w:r>
        <w:rPr>
          <w:rFonts w:hint="eastAsia" w:ascii="仿宋_GB2312" w:eastAsia="仿宋_GB2312"/>
          <w:color w:val="000000" w:themeColor="text1"/>
          <w:sz w:val="32"/>
          <w:szCs w:val="32"/>
          <w14:textFill>
            <w14:solidFill>
              <w14:schemeClr w14:val="tx1"/>
            </w14:solidFill>
          </w14:textFill>
        </w:rPr>
        <w:t>一是开展“学习新思想，做好接班人”主题教育活动。开展“书香内黄 全民阅读”主题阅读等活动。二是开展内黄县“新时代好少年”评选</w:t>
      </w:r>
      <w:r>
        <w:rPr>
          <w:rFonts w:hint="eastAsia" w:ascii="仿宋_GB2312" w:eastAsia="仿宋_GB2312"/>
          <w:color w:val="auto"/>
          <w:sz w:val="32"/>
          <w:szCs w:val="32"/>
        </w:rPr>
        <w:t>活动。12</w:t>
      </w:r>
      <w:r>
        <w:rPr>
          <w:rFonts w:hint="eastAsia" w:ascii="仿宋_GB2312" w:eastAsia="仿宋_GB2312"/>
          <w:color w:val="auto"/>
          <w:sz w:val="32"/>
          <w:szCs w:val="32"/>
          <w:lang w:val="en-US" w:eastAsia="zh-CN"/>
        </w:rPr>
        <w:t>2</w:t>
      </w:r>
      <w:r>
        <w:rPr>
          <w:rFonts w:hint="eastAsia" w:ascii="仿宋_GB2312" w:eastAsia="仿宋_GB2312"/>
          <w:color w:val="auto"/>
          <w:sz w:val="32"/>
          <w:szCs w:val="32"/>
        </w:rPr>
        <w:t>名学生荣获内黄县“新时代好少年”荣誉称号</w:t>
      </w:r>
      <w:r>
        <w:rPr>
          <w:rFonts w:hint="eastAsia" w:ascii="仿宋_GB2312" w:eastAsia="仿宋_GB2312"/>
          <w:color w:val="auto"/>
          <w:sz w:val="32"/>
          <w:szCs w:val="32"/>
          <w:lang w:eastAsia="zh-CN"/>
        </w:rPr>
        <w:t>。</w:t>
      </w:r>
    </w:p>
    <w:p w14:paraId="35E4B9EF">
      <w:pPr>
        <w:pStyle w:val="5"/>
        <w:spacing w:after="0" w:line="560" w:lineRule="exact"/>
        <w:ind w:left="0" w:leftChars="0" w:firstLine="643" w:firstLineChars="200"/>
        <w:rPr>
          <w:rFonts w:ascii="仿宋_GB2312" w:hAnsi="仿宋_GB2312" w:eastAsia="仿宋_GB2312" w:cs="仿宋_GB2312"/>
          <w:color w:val="auto"/>
          <w:sz w:val="32"/>
          <w:szCs w:val="32"/>
        </w:rPr>
      </w:pPr>
      <w:r>
        <w:rPr>
          <w:rFonts w:hint="eastAsia" w:ascii="仿宋_GB2312" w:eastAsia="仿宋_GB2312"/>
          <w:b/>
          <w:sz w:val="32"/>
          <w:szCs w:val="32"/>
        </w:rPr>
        <w:t>2.加强班主任队伍建设。</w:t>
      </w:r>
      <w:r>
        <w:rPr>
          <w:rFonts w:hint="eastAsia" w:ascii="仿宋_GB2312" w:hAnsi="仿宋_GB2312" w:eastAsia="仿宋_GB2312" w:cs="仿宋_GB2312"/>
          <w:color w:val="auto"/>
          <w:sz w:val="32"/>
          <w:szCs w:val="32"/>
        </w:rPr>
        <w:t>一是开展中小学班主任基本功大赛。来自全县中小学30余名班主任围绕育人故事、带班方略、主题班会、案例答辩、才艺特长5项内容进行角逐。评选出小学组县一等奖4名、二等奖6名，初中组县一等奖1名、二等奖2名。并从中选拔出小学组、中学组各2名优秀选手，参加安阳市第七届中小学班主任基本功大赛。均获得市级奖项，其中，一等奖1名，二等奖3名</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二是组织开展班主任培训。围绕加强学生心理健康教育工作，今年春季学期，分学段组织小学、初中、高中班主任进行心理健康教育专题培训，培训班主任600人次。三是开展班主任优秀工作案例评选。各乡镇中心校、局属各学校推荐3-5篇优秀案例，共推荐139篇。县教育局组织名班主任工作室主持人及成员，按照</w:t>
      </w: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评模式打分，然后，取各工作室打分</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平均分确定全县成绩及名次，评选出60余篇优秀工作案例，并编辑成书，供全县中小学学习交流使用。</w:t>
      </w:r>
    </w:p>
    <w:p w14:paraId="7A694A0A">
      <w:pPr>
        <w:pStyle w:val="9"/>
        <w:widowControl/>
        <w:spacing w:beforeAutospacing="0" w:afterAutospacing="0" w:line="560" w:lineRule="exact"/>
        <w:ind w:firstLine="630"/>
        <w:rPr>
          <w:rFonts w:ascii="仿宋_GB2312" w:eastAsia="仿宋_GB2312"/>
          <w:color w:val="FF0000"/>
          <w:sz w:val="32"/>
          <w:szCs w:val="32"/>
        </w:rPr>
      </w:pPr>
      <w:r>
        <w:rPr>
          <w:rFonts w:hint="eastAsia" w:ascii="仿宋_GB2312" w:eastAsia="仿宋_GB2312"/>
          <w:b/>
          <w:color w:val="000000" w:themeColor="text1"/>
          <w:sz w:val="32"/>
          <w:szCs w:val="32"/>
          <w14:textFill>
            <w14:solidFill>
              <w14:schemeClr w14:val="tx1"/>
            </w14:solidFill>
          </w14:textFill>
        </w:rPr>
        <w:t>3.丰富学生社团活动。</w:t>
      </w:r>
      <w:r>
        <w:rPr>
          <w:rFonts w:hint="eastAsia" w:ascii="仿宋_GB2312" w:eastAsia="仿宋_GB2312"/>
          <w:color w:val="000000" w:themeColor="text1"/>
          <w:sz w:val="32"/>
          <w:szCs w:val="32"/>
          <w14:textFill>
            <w14:solidFill>
              <w14:schemeClr w14:val="tx1"/>
            </w14:solidFill>
          </w14:textFill>
        </w:rPr>
        <w:t>202</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年初，根据县教育局教育教学重点工作安排，全县各中小学把社团活动融入课后服务中，提高了学生兴趣，增强了课后服务魅力，截止202</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年12月，全县共组建各类社团15</w:t>
      </w:r>
      <w:r>
        <w:rPr>
          <w:rFonts w:hint="eastAsia" w:ascii="仿宋_GB2312" w:eastAsia="仿宋_GB2312"/>
          <w:color w:val="000000" w:themeColor="text1"/>
          <w:sz w:val="32"/>
          <w:szCs w:val="32"/>
          <w:lang w:val="en-US" w:eastAsia="zh-CN"/>
          <w14:textFill>
            <w14:solidFill>
              <w14:schemeClr w14:val="tx1"/>
            </w14:solidFill>
          </w14:textFill>
        </w:rPr>
        <w:t>32</w:t>
      </w:r>
      <w:r>
        <w:rPr>
          <w:rFonts w:hint="eastAsia" w:ascii="仿宋_GB2312" w:eastAsia="仿宋_GB2312"/>
          <w:color w:val="000000" w:themeColor="text1"/>
          <w:sz w:val="32"/>
          <w:szCs w:val="32"/>
          <w14:textFill>
            <w14:solidFill>
              <w14:schemeClr w14:val="tx1"/>
            </w14:solidFill>
          </w14:textFill>
        </w:rPr>
        <w:t>个，部分学校社团特色显著，初见成效。</w:t>
      </w:r>
    </w:p>
    <w:p w14:paraId="13B1CDEA">
      <w:pPr>
        <w:pStyle w:val="9"/>
        <w:widowControl/>
        <w:spacing w:beforeAutospacing="0" w:afterAutospacing="0" w:line="560" w:lineRule="exact"/>
        <w:ind w:firstLine="630"/>
        <w:rPr>
          <w:rStyle w:val="13"/>
          <w:rFonts w:ascii="楷体_GB2312" w:hAnsi="黑体" w:eastAsia="楷体_GB2312" w:cs="黑体"/>
          <w:b w:val="0"/>
          <w:bCs/>
          <w:sz w:val="32"/>
          <w:szCs w:val="32"/>
          <w:shd w:val="clear" w:color="auto" w:fill="FFFFFF"/>
        </w:rPr>
      </w:pPr>
      <w:r>
        <w:rPr>
          <w:rFonts w:hint="eastAsia" w:ascii="楷体_GB2312" w:eastAsia="楷体_GB2312"/>
          <w:sz w:val="32"/>
          <w:szCs w:val="32"/>
        </w:rPr>
        <w:t>（</w:t>
      </w:r>
      <w:r>
        <w:rPr>
          <w:rFonts w:hint="eastAsia" w:ascii="楷体_GB2312" w:eastAsia="楷体_GB2312"/>
          <w:sz w:val="32"/>
          <w:szCs w:val="32"/>
          <w:lang w:val="en-US" w:eastAsia="zh-CN"/>
        </w:rPr>
        <w:t>三</w:t>
      </w:r>
      <w:r>
        <w:rPr>
          <w:rFonts w:hint="eastAsia" w:ascii="楷体_GB2312" w:eastAsia="楷体_GB2312"/>
          <w:sz w:val="32"/>
          <w:szCs w:val="32"/>
        </w:rPr>
        <w:t>）多措并举，落实“双减”政策</w:t>
      </w:r>
    </w:p>
    <w:p w14:paraId="4814976E">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1.持续加强校内作业减负。</w:t>
      </w:r>
    </w:p>
    <w:p w14:paraId="2AE51656">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一是召开专题会议。下发了《</w:t>
      </w:r>
      <w:r>
        <w:rPr>
          <w:rFonts w:hint="eastAsia" w:ascii="仿宋_GB2312" w:eastAsia="仿宋_GB2312"/>
          <w:sz w:val="32"/>
          <w:szCs w:val="32"/>
        </w:rPr>
        <w:t>内黄县教育局关于进一步抓好义务教育阶段教育教学管理工作的通知</w:t>
      </w:r>
      <w:r>
        <w:rPr>
          <w:rFonts w:hint="eastAsia" w:ascii="仿宋_GB2312" w:hAnsi="仿宋_GB2312" w:eastAsia="仿宋_GB2312" w:cs="仿宋_GB2312"/>
          <w:sz w:val="32"/>
          <w:szCs w:val="32"/>
        </w:rPr>
        <w:t>》，要求全县各乡校进一步学习领会相关政策要求，加压推进“双减”政策落实。二是开展“双减”政策落实的排查整治工作。出台了《关于开展全县中小学有关问题排查整治的通知》，开展为期一个月的排查整治工作，进一步规范我县中小学教辅材料、作业、考试、课后服务、课外读物管理等工作，切实让“双减”政策惠及民生。</w:t>
      </w:r>
      <w:r>
        <w:rPr>
          <w:rFonts w:hint="eastAsia" w:ascii="仿宋_GB2312" w:hAnsi="仿宋_GB2312" w:eastAsia="仿宋_GB2312" w:cs="仿宋_GB2312"/>
          <w:color w:val="auto"/>
          <w:sz w:val="32"/>
          <w:szCs w:val="32"/>
          <w:lang w:val="en-US" w:eastAsia="zh-CN"/>
        </w:rPr>
        <w:t>三</w:t>
      </w:r>
      <w:r>
        <w:rPr>
          <w:rFonts w:hint="eastAsia" w:ascii="仿宋_GB2312" w:hAnsi="仿宋_GB2312" w:eastAsia="仿宋_GB2312" w:cs="仿宋_GB2312"/>
          <w:color w:val="auto"/>
          <w:sz w:val="32"/>
          <w:szCs w:val="32"/>
        </w:rPr>
        <w:t>是强</w:t>
      </w:r>
      <w:r>
        <w:rPr>
          <w:rFonts w:hint="eastAsia" w:ascii="仿宋_GB2312" w:hAnsi="仿宋_GB2312" w:eastAsia="仿宋_GB2312" w:cs="仿宋_GB2312"/>
          <w:sz w:val="32"/>
          <w:szCs w:val="32"/>
        </w:rPr>
        <w:t>化督导检查。县教育局定期组织人员深入全县义务教育学校，采取实地查看、调查问卷、查阅资料、访问师生等方式，全面了解学校落实“双减”政策情况。目前，已开展了4次督导检查，下发了4次通报，对全县义务教育学校有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典型做法进行表扬，对存在问题进行通报批评。</w:t>
      </w:r>
    </w:p>
    <w:p w14:paraId="52FB0CFD">
      <w:pPr>
        <w:spacing w:line="560" w:lineRule="exact"/>
        <w:ind w:firstLine="643" w:firstLineChars="200"/>
        <w:rPr>
          <w:rFonts w:ascii="仿宋_GB2312" w:hAnsi="仿宋_GB2312" w:eastAsia="仿宋_GB2312" w:cs="仿宋_GB2312"/>
          <w:color w:val="auto"/>
          <w:sz w:val="32"/>
          <w:szCs w:val="32"/>
        </w:rPr>
      </w:pPr>
      <w:r>
        <w:rPr>
          <w:rStyle w:val="13"/>
          <w:rFonts w:hint="eastAsia" w:ascii="仿宋_GB2312" w:hAnsi="楷体" w:eastAsia="仿宋_GB2312" w:cs="楷体"/>
          <w:sz w:val="32"/>
          <w:szCs w:val="32"/>
          <w:lang w:val="en-US" w:eastAsia="zh-CN"/>
        </w:rPr>
        <w:t>2</w:t>
      </w:r>
      <w:r>
        <w:rPr>
          <w:rStyle w:val="13"/>
          <w:rFonts w:hint="eastAsia" w:ascii="仿宋_GB2312" w:hAnsi="楷体" w:eastAsia="仿宋_GB2312" w:cs="楷体"/>
          <w:sz w:val="32"/>
          <w:szCs w:val="32"/>
        </w:rPr>
        <w:t>.规范治理</w:t>
      </w:r>
      <w:r>
        <w:rPr>
          <w:rStyle w:val="13"/>
          <w:rFonts w:hint="eastAsia" w:ascii="仿宋_GB2312" w:hAnsi="楷体" w:eastAsia="仿宋_GB2312" w:cs="楷体"/>
          <w:sz w:val="32"/>
          <w:szCs w:val="32"/>
          <w:lang w:eastAsia="zh-CN"/>
        </w:rPr>
        <w:t>校外培训</w:t>
      </w:r>
      <w:r>
        <w:rPr>
          <w:rStyle w:val="13"/>
          <w:rFonts w:hint="eastAsia" w:ascii="仿宋_GB2312" w:hAnsi="楷体" w:eastAsia="仿宋_GB2312" w:cs="楷体"/>
          <w:sz w:val="32"/>
          <w:szCs w:val="32"/>
        </w:rPr>
        <w:t>。</w:t>
      </w:r>
      <w:r>
        <w:rPr>
          <w:rFonts w:hint="eastAsia" w:ascii="仿宋_GB2312" w:hAnsi="仿宋_GB2312" w:eastAsia="仿宋_GB2312" w:cs="仿宋_GB2312"/>
          <w:color w:val="auto"/>
          <w:sz w:val="32"/>
          <w:szCs w:val="32"/>
        </w:rPr>
        <w:t>一是加强常规检查。2024年以来，县教育局持续开展校外培训机构周末常规检查，组织人员成立检查组。乡镇中心校、局属各小学成立2</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个检查小组，周末通过“互检+抽检”对辖区内校外培训机构占用国家法定节假日、休息日开展组织学科类培训、以隐形变异形式违规开展学科类培训、非学科类培训机构违规开展学科培训开展检查，共开展周末检查30次，出动人员1100余人次，查处违规学科类培训6起。二是开展定期专项检查。县教育局开展校外培训机构专项检查7项，（寒假专项检查、五一假期专项检查、端午节专项检查、“六一”专项检查、监管护苗专项检查、五一假期专项检查、午托机构暨校外培训机构专项整治）共出动检查人员900余人次，查处违规学科类培训14处，</w:t>
      </w:r>
      <w:r>
        <w:rPr>
          <w:rFonts w:hint="eastAsia" w:ascii="仿宋_GB2312" w:hAnsi="仿宋_GB2312" w:eastAsia="仿宋_GB2312" w:cs="仿宋_GB2312"/>
          <w:color w:val="auto"/>
          <w:kern w:val="0"/>
          <w:sz w:val="31"/>
          <w:szCs w:val="31"/>
        </w:rPr>
        <w:t>拆除关停机构广告6处，化解退费纠纷2次，累计金额1690元。</w:t>
      </w:r>
      <w:r>
        <w:rPr>
          <w:rFonts w:hint="eastAsia" w:ascii="仿宋_GB2312" w:hAnsi="仿宋_GB2312" w:eastAsia="仿宋_GB2312" w:cs="仿宋_GB2312"/>
          <w:color w:val="auto"/>
          <w:sz w:val="32"/>
          <w:szCs w:val="32"/>
        </w:rPr>
        <w:t>三是部门联合检查。县教育局联合县市场监管局开展校外培训机构“双随机、一公开”抽查1次，重点对校外培训机构规范办学行为等情况进行摸排检查。出动人员6余人次，未发现违规情况。四是积极推进非学科类机构全流程纳入平台监管。目前，县文广体旅局已审批登记4家机构，4家已合规，全流程纳入监管。五是加大宣传力度，拓宽监督渠道。通过发放致家长的一封信、家长会、微信通知等方式，公布教育局、文广体旅局、科技局的监督举报平台、电话和电子邮箱，同时，</w:t>
      </w:r>
      <w:r>
        <w:rPr>
          <w:rFonts w:hint="eastAsia" w:ascii="仿宋_GB2312" w:hAnsi="仿宋_GB2312" w:eastAsia="仿宋_GB2312" w:cs="仿宋_GB2312"/>
          <w:color w:val="auto"/>
          <w:kern w:val="0"/>
          <w:sz w:val="31"/>
          <w:szCs w:val="31"/>
        </w:rPr>
        <w:t>通过微信公众号、云上内黄APP等宣传方式发布《内黄县市场监督管理局关于规范2024年暑期校外培训广告行为的提醒告诫书》，</w:t>
      </w:r>
      <w:r>
        <w:rPr>
          <w:rFonts w:hint="eastAsia" w:ascii="仿宋_GB2312" w:hAnsi="仿宋_GB2312" w:eastAsia="仿宋_GB2312" w:cs="仿宋_GB2312"/>
          <w:color w:val="auto"/>
          <w:sz w:val="32"/>
          <w:szCs w:val="32"/>
        </w:rPr>
        <w:t>提高群众关于违规参加校外培训的风险意识。五是建立校外培训监管评价机制。对于乡镇中心校和局属学校辖区内出现的学科类培训机构和参加培训的学生，根据出现的机构数量和参与培训的学生人次，纳入对乡镇中心校和局属学校</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年终评价。对于监管不力，辖区内学科类培训行为频发的乡校，严格追究其相关责任人的责任。</w:t>
      </w:r>
    </w:p>
    <w:p w14:paraId="5B096FEE">
      <w:pPr>
        <w:pStyle w:val="9"/>
        <w:widowControl/>
        <w:spacing w:beforeAutospacing="0" w:afterAutospacing="0" w:line="560" w:lineRule="exact"/>
        <w:ind w:firstLine="555"/>
        <w:rPr>
          <w:rFonts w:ascii="仿宋_GB2312" w:hAnsi="仿宋" w:eastAsia="仿宋_GB2312" w:cs="仿宋"/>
          <w:color w:val="000000" w:themeColor="text1"/>
          <w:sz w:val="32"/>
          <w:szCs w:val="32"/>
          <w14:textFill>
            <w14:solidFill>
              <w14:schemeClr w14:val="tx1"/>
            </w14:solidFill>
          </w14:textFill>
        </w:rPr>
      </w:pPr>
      <w:r>
        <w:rPr>
          <w:rStyle w:val="13"/>
          <w:rFonts w:hint="eastAsia" w:ascii="仿宋_GB2312" w:hAnsi="仿宋" w:eastAsia="仿宋_GB2312" w:cs="楷体"/>
          <w:sz w:val="32"/>
          <w:szCs w:val="32"/>
          <w:lang w:val="en-US" w:eastAsia="zh-CN"/>
        </w:rPr>
        <w:t>3</w:t>
      </w:r>
      <w:r>
        <w:rPr>
          <w:rStyle w:val="13"/>
          <w:rFonts w:hint="eastAsia" w:ascii="仿宋_GB2312" w:hAnsi="仿宋" w:eastAsia="仿宋_GB2312" w:cs="楷体"/>
          <w:sz w:val="32"/>
          <w:szCs w:val="32"/>
        </w:rPr>
        <w:t>.落实政策显成效。</w:t>
      </w:r>
      <w:r>
        <w:rPr>
          <w:rFonts w:hint="eastAsia" w:ascii="仿宋_GB2312" w:hAnsi="仿宋" w:eastAsia="仿宋_GB2312" w:cs="仿宋"/>
          <w:color w:val="000000" w:themeColor="text1"/>
          <w:sz w:val="32"/>
          <w:szCs w:val="32"/>
          <w14:textFill>
            <w14:solidFill>
              <w14:schemeClr w14:val="tx1"/>
            </w14:solidFill>
          </w14:textFill>
        </w:rPr>
        <w:t>全县中招质量在同等规模、同样招生计划的情况下，中招分数线较历年屡次攀高，中招成绩大幅提升。全县中小学教育质量在安阳市5个县（市）中名列前茅，得到社会各界和学生家长的好评。</w:t>
      </w:r>
    </w:p>
    <w:p w14:paraId="6C629415">
      <w:pPr>
        <w:pStyle w:val="5"/>
        <w:spacing w:after="0" w:line="560" w:lineRule="exact"/>
        <w:ind w:left="0" w:leftChars="0" w:firstLine="640" w:firstLineChars="200"/>
        <w:contextualSpacing/>
        <w:rPr>
          <w:rFonts w:ascii="黑体" w:hAnsi="黑体" w:eastAsia="黑体"/>
          <w:sz w:val="32"/>
          <w:szCs w:val="32"/>
        </w:rPr>
      </w:pPr>
      <w:r>
        <w:rPr>
          <w:rFonts w:hint="eastAsia" w:ascii="黑体" w:hAnsi="黑体" w:eastAsia="黑体"/>
          <w:sz w:val="32"/>
          <w:szCs w:val="32"/>
          <w:lang w:eastAsia="zh-CN"/>
        </w:rPr>
        <w:t>二</w:t>
      </w:r>
      <w:r>
        <w:rPr>
          <w:rFonts w:hint="eastAsia" w:ascii="黑体" w:hAnsi="黑体" w:eastAsia="黑体"/>
          <w:sz w:val="32"/>
          <w:szCs w:val="32"/>
        </w:rPr>
        <w:t>、扎实推进高考综合改革，推动普通高中多样化发展</w:t>
      </w:r>
    </w:p>
    <w:p w14:paraId="2B964AD9">
      <w:pPr>
        <w:pStyle w:val="5"/>
        <w:spacing w:after="0" w:line="560" w:lineRule="exact"/>
        <w:ind w:left="0" w:leftChars="0" w:firstLine="640" w:firstLineChars="200"/>
        <w:rPr>
          <w:rFonts w:ascii="仿宋_GB2312" w:hAnsi="仿宋_GB2312" w:eastAsia="仿宋_GB2312" w:cs="仿宋_GB2312"/>
          <w:sz w:val="32"/>
          <w:szCs w:val="32"/>
        </w:rPr>
      </w:pPr>
      <w:r>
        <w:rPr>
          <w:rFonts w:hint="eastAsia" w:ascii="楷体" w:hAnsi="楷体" w:eastAsia="楷体" w:cs="楷体"/>
          <w:b w:val="0"/>
          <w:bCs w:val="0"/>
          <w:sz w:val="32"/>
          <w:szCs w:val="32"/>
          <w:lang w:val="en-US" w:eastAsia="zh-CN"/>
        </w:rPr>
        <w:t>（一）创设条件推进改革。</w:t>
      </w:r>
      <w:r>
        <w:rPr>
          <w:rFonts w:hint="eastAsia" w:ascii="仿宋_GB2312" w:hAnsi="仿宋_GB2312" w:eastAsia="仿宋_GB2312" w:cs="仿宋_GB2312"/>
          <w:sz w:val="32"/>
          <w:szCs w:val="32"/>
        </w:rPr>
        <w:t>根据高考综合改革政策要求，围绕组织保障、教育教学改革、办学办考条件改善及配套改革等方面扎实推进高考综合改革。</w:t>
      </w:r>
      <w:r>
        <w:rPr>
          <w:rFonts w:hint="eastAsia" w:ascii="仿宋_GB2312" w:eastAsia="仿宋_GB2312" w:cs="宋体"/>
          <w:bCs/>
          <w:sz w:val="32"/>
          <w:szCs w:val="32"/>
        </w:rPr>
        <w:t>坚持素质教育发展理念，推进高中教育教学改革。去年成功举办首届中小学生综合素质创新大赛，12月份，开展第二届创新大赛，特别是高中学生踊跃参加，这是积极贯彻落实高考改革的新举措。积极推进办考条件改善，目前，全县</w:t>
      </w:r>
      <w:r>
        <w:rPr>
          <w:rFonts w:hint="eastAsia" w:ascii="仿宋_GB2312" w:hAnsi="仿宋_GB2312" w:eastAsia="仿宋_GB2312" w:cs="仿宋_GB2312"/>
          <w:sz w:val="32"/>
          <w:szCs w:val="32"/>
        </w:rPr>
        <w:t>共有标准化考场550个，全高清摄像头标准化考点数5个。人脸识别身份验证终端设备数210个，5G屏蔽设备数210个，基本满足组织国家教育统一考试的需要。各普通高中结合学校师资情况，积极探索有利于学生获得最优发展、同时也能充分且有效利用学校现有师资的选课走班方式。</w:t>
      </w:r>
    </w:p>
    <w:p w14:paraId="37184126">
      <w:pPr>
        <w:pStyle w:val="5"/>
        <w:spacing w:after="0" w:line="560" w:lineRule="exact"/>
        <w:ind w:left="0" w:leftChars="0" w:firstLine="643" w:firstLineChars="200"/>
        <w:contextualSpacing/>
        <w:rPr>
          <w:rFonts w:ascii="仿宋_GB2312" w:eastAsia="仿宋_GB2312"/>
          <w:color w:val="000000" w:themeColor="text1"/>
          <w:sz w:val="32"/>
          <w:szCs w:val="32"/>
          <w14:textFill>
            <w14:solidFill>
              <w14:schemeClr w14:val="tx1"/>
            </w14:solidFill>
          </w14:textFill>
        </w:rPr>
      </w:pPr>
      <w:r>
        <w:rPr>
          <w:rFonts w:hint="eastAsia" w:ascii="仿宋_GB2312" w:eastAsia="仿宋_GB2312"/>
          <w:b/>
          <w:color w:val="auto"/>
          <w:sz w:val="32"/>
          <w:szCs w:val="32"/>
          <w:lang w:val="en-US" w:eastAsia="zh-CN"/>
        </w:rPr>
        <w:t>（二）</w:t>
      </w:r>
      <w:r>
        <w:rPr>
          <w:rFonts w:hint="eastAsia" w:ascii="仿宋_GB2312" w:eastAsia="仿宋_GB2312"/>
          <w:b/>
          <w:color w:val="auto"/>
          <w:sz w:val="32"/>
          <w:szCs w:val="32"/>
        </w:rPr>
        <w:t>走特色办学之路。</w:t>
      </w:r>
      <w:r>
        <w:rPr>
          <w:rFonts w:hint="eastAsia" w:ascii="仿宋_GB2312" w:eastAsia="仿宋_GB2312"/>
          <w:color w:val="000000" w:themeColor="text1"/>
          <w:sz w:val="32"/>
          <w:szCs w:val="32"/>
          <w14:textFill>
            <w14:solidFill>
              <w14:schemeClr w14:val="tx1"/>
            </w14:solidFill>
          </w14:textFill>
        </w:rPr>
        <w:t>县二中、县四中根据学生实际，结合新高考要求，围绕音乐特色、体育特色、美术特色，在学习基础学科的基础上，重点发展学生音体美特长，为学生就读大学提供更多机会。学校从高一开始关注学生兴趣爱好，组建学生社团，激发学生学习积极性，对音乐美术等产生兴趣。高二下学期开展艺体生分流工作，本着自愿原则，让学生参加为期半年的艺术集中培训，提升艺术素养和专业成绩；立足美术音乐课堂，加强鉴赏教育，促进学生全面发展；通过举办学校文化艺术节、田径运动会、合唱比赛等文艺活动，促进学生艺术水平提高。</w:t>
      </w:r>
    </w:p>
    <w:p w14:paraId="0843F26F">
      <w:pPr>
        <w:pStyle w:val="5"/>
        <w:spacing w:after="0" w:line="560" w:lineRule="exact"/>
        <w:ind w:left="0" w:leftChars="0" w:firstLine="640" w:firstLineChars="200"/>
        <w:contextualSpacing/>
        <w:rPr>
          <w:rFonts w:hint="eastAsia" w:ascii="仿宋_GB2312" w:eastAsia="仿宋_GB2312"/>
          <w:color w:val="auto"/>
          <w:sz w:val="32"/>
          <w:szCs w:val="32"/>
        </w:rPr>
      </w:pPr>
      <w:r>
        <w:rPr>
          <w:rFonts w:hint="eastAsia" w:ascii="楷体" w:hAnsi="楷体" w:eastAsia="楷体" w:cs="楷体"/>
          <w:b w:val="0"/>
          <w:bCs/>
          <w:color w:val="auto"/>
          <w:sz w:val="32"/>
          <w:szCs w:val="32"/>
          <w:lang w:val="en-US" w:eastAsia="zh-CN"/>
        </w:rPr>
        <w:t>（三）</w:t>
      </w:r>
      <w:r>
        <w:rPr>
          <w:rFonts w:hint="eastAsia" w:ascii="楷体" w:hAnsi="楷体" w:eastAsia="楷体" w:cs="楷体"/>
          <w:b w:val="0"/>
          <w:bCs/>
          <w:color w:val="auto"/>
          <w:sz w:val="32"/>
          <w:szCs w:val="32"/>
        </w:rPr>
        <w:t>普通高中教育质量显著提升。</w:t>
      </w:r>
      <w:r>
        <w:rPr>
          <w:rFonts w:hint="eastAsia" w:ascii="仿宋_GB2312" w:eastAsia="仿宋_GB2312"/>
          <w:color w:val="auto"/>
          <w:sz w:val="32"/>
          <w:szCs w:val="32"/>
        </w:rPr>
        <w:t>2024年，高考成绩更是再创新高，一本上线再获重大突破，达到1961人，本科上线4517人，其中，“985” 工程院校录取193人，“211” 工程院校录取563人，清华录取8人，北大录取2人，复旦大学13人，上海交通大学6人，浙江大学4人，中国人民大学3人，山东大学11人,同济大学10人，西安交通大学9人。内黄县一中被选为北京大学博雅人才共育基地；县四中、县二中坚持多样化发展，注重艺体特长生培养，艺体类考生上线率大幅度提升。</w:t>
      </w:r>
    </w:p>
    <w:p w14:paraId="0AA6B57E">
      <w:pPr>
        <w:pStyle w:val="5"/>
        <w:spacing w:after="0" w:line="560" w:lineRule="exact"/>
        <w:ind w:left="0" w:leftChars="0" w:firstLine="640" w:firstLineChars="200"/>
        <w:contextualSpacing/>
        <w:rPr>
          <w:rFonts w:ascii="黑体" w:hAnsi="黑体" w:eastAsia="黑体"/>
          <w:sz w:val="32"/>
          <w:szCs w:val="32"/>
        </w:rPr>
      </w:pPr>
      <w:r>
        <w:rPr>
          <w:rFonts w:hint="eastAsia" w:ascii="黑体" w:hAnsi="黑体" w:eastAsia="黑体"/>
          <w:sz w:val="32"/>
          <w:szCs w:val="32"/>
          <w:lang w:eastAsia="zh-CN"/>
        </w:rPr>
        <w:t>三</w:t>
      </w:r>
      <w:r>
        <w:rPr>
          <w:rFonts w:hint="eastAsia" w:ascii="黑体" w:hAnsi="黑体" w:eastAsia="黑体"/>
          <w:sz w:val="32"/>
          <w:szCs w:val="32"/>
        </w:rPr>
        <w:t>、特教特办，保障残疾儿童受教育权利</w:t>
      </w:r>
    </w:p>
    <w:p w14:paraId="6269C048">
      <w:pPr>
        <w:pStyle w:val="5"/>
        <w:spacing w:after="0" w:line="560" w:lineRule="exact"/>
        <w:ind w:left="0" w:leftChars="0" w:firstLine="640" w:firstLineChars="200"/>
        <w:rPr>
          <w:rFonts w:hint="eastAsia" w:ascii="仿宋_GB2312" w:eastAsia="仿宋_GB2312"/>
          <w:sz w:val="32"/>
          <w:szCs w:val="32"/>
        </w:rPr>
      </w:pPr>
      <w:r>
        <w:rPr>
          <w:rStyle w:val="13"/>
          <w:rFonts w:hint="eastAsia" w:ascii="楷体_GB2312" w:hAnsi="黑体" w:eastAsia="楷体" w:cs="黑体"/>
          <w:b w:val="0"/>
          <w:bCs/>
          <w:color w:val="000000" w:themeColor="text1"/>
          <w:sz w:val="32"/>
          <w:szCs w:val="32"/>
          <w:shd w:val="clear" w:color="auto" w:fill="FFFFFF"/>
          <w:lang w:eastAsia="zh-CN"/>
          <w14:textFill>
            <w14:solidFill>
              <w14:schemeClr w14:val="tx1"/>
            </w14:solidFill>
          </w14:textFill>
        </w:rPr>
        <w:t>（</w:t>
      </w:r>
      <w:r>
        <w:rPr>
          <w:rFonts w:hint="eastAsia" w:ascii="仿宋_GB2312" w:eastAsia="楷体"/>
          <w:sz w:val="32"/>
          <w:szCs w:val="32"/>
        </w:rPr>
        <w:t>一</w:t>
      </w:r>
      <w:r>
        <w:rPr>
          <w:rFonts w:hint="eastAsia" w:ascii="仿宋_GB2312" w:eastAsia="楷体"/>
          <w:sz w:val="32"/>
          <w:szCs w:val="32"/>
          <w:lang w:eastAsia="zh-CN"/>
        </w:rPr>
        <w:t>）</w:t>
      </w:r>
      <w:r>
        <w:rPr>
          <w:rFonts w:hint="eastAsia" w:ascii="仿宋_GB2312" w:eastAsia="楷体"/>
          <w:sz w:val="32"/>
          <w:szCs w:val="32"/>
        </w:rPr>
        <w:t>积极开展各类培训，促进教师专业化成长。</w:t>
      </w:r>
      <w:r>
        <w:rPr>
          <w:rFonts w:hint="eastAsia" w:ascii="仿宋_GB2312" w:eastAsia="仿宋_GB2312"/>
          <w:sz w:val="32"/>
          <w:szCs w:val="32"/>
        </w:rPr>
        <w:t>先后组织教师30余人次赴洛阳、郑州等地参加国培、省培项目学习，开阔老师们的视野；积极组织校本培训，举办微课培训、手工制作培训、诗朗诵培训、示范课比赛等活动10余次；组织教师到安阳市特校、滑县特校交流观摩学习，为教师的专业成长搭建舞台。</w:t>
      </w:r>
    </w:p>
    <w:p w14:paraId="498FC385">
      <w:pPr>
        <w:pStyle w:val="5"/>
        <w:spacing w:after="0" w:line="560" w:lineRule="exact"/>
        <w:ind w:left="0" w:leftChars="0" w:firstLine="640" w:firstLineChars="200"/>
        <w:rPr>
          <w:rFonts w:hint="eastAsia" w:ascii="仿宋_GB2312" w:eastAsia="仿宋_GB2312"/>
          <w:sz w:val="32"/>
          <w:szCs w:val="32"/>
        </w:rPr>
      </w:pPr>
      <w:r>
        <w:rPr>
          <w:rStyle w:val="13"/>
          <w:rFonts w:hint="eastAsia" w:ascii="楷体_GB2312" w:hAnsi="黑体" w:eastAsia="楷体" w:cs="黑体"/>
          <w:b w:val="0"/>
          <w:bCs/>
          <w:color w:val="000000" w:themeColor="text1"/>
          <w:sz w:val="32"/>
          <w:szCs w:val="32"/>
          <w:shd w:val="clear" w:color="auto" w:fill="FFFFFF"/>
          <w:lang w:eastAsia="zh-CN"/>
          <w14:textFill>
            <w14:solidFill>
              <w14:schemeClr w14:val="tx1"/>
            </w14:solidFill>
          </w14:textFill>
        </w:rPr>
        <w:t>（二）持续开展适应类课程，积极开展个别化教育。</w:t>
      </w:r>
      <w:r>
        <w:rPr>
          <w:rFonts w:hint="eastAsia" w:ascii="仿宋_GB2312" w:eastAsia="仿宋_GB2312"/>
          <w:sz w:val="32"/>
          <w:szCs w:val="32"/>
        </w:rPr>
        <w:t>举办了开学典礼、清明祭扫烈士</w:t>
      </w:r>
      <w:r>
        <w:rPr>
          <w:rFonts w:hint="eastAsia" w:ascii="仿宋_GB2312" w:eastAsia="仿宋_GB2312"/>
          <w:sz w:val="32"/>
          <w:szCs w:val="32"/>
          <w:lang w:val="en-US" w:eastAsia="zh-CN"/>
        </w:rPr>
        <w:t>陵墓</w:t>
      </w:r>
      <w:r>
        <w:rPr>
          <w:rFonts w:hint="eastAsia" w:ascii="仿宋_GB2312" w:eastAsia="仿宋_GB2312"/>
          <w:sz w:val="32"/>
          <w:szCs w:val="32"/>
        </w:rPr>
        <w:t>、端午节诵读等活动，组织了助残日系列活动、毕业班文艺汇报等，丰富了学生的第二课堂；坚持对学生状况评估，制定个训计划、补偿缺陷，为即将毕业的学生开展职业规划，主动和理发、超市、物流、中职学校机构等结合，开发职业实习体验基地，拓宽学生毕业就业渠道。</w:t>
      </w:r>
    </w:p>
    <w:p w14:paraId="356E54BF">
      <w:pPr>
        <w:pStyle w:val="5"/>
        <w:spacing w:after="0" w:line="560" w:lineRule="exact"/>
        <w:ind w:left="0" w:leftChars="0" w:firstLine="640" w:firstLineChars="200"/>
        <w:rPr>
          <w:rFonts w:hint="eastAsia" w:ascii="仿宋_GB2312" w:eastAsia="仿宋_GB2312"/>
          <w:sz w:val="32"/>
          <w:szCs w:val="32"/>
        </w:rPr>
      </w:pPr>
      <w:r>
        <w:rPr>
          <w:rStyle w:val="13"/>
          <w:rFonts w:hint="eastAsia" w:ascii="楷体_GB2312" w:hAnsi="黑体" w:eastAsia="楷体" w:cs="黑体"/>
          <w:b w:val="0"/>
          <w:bCs/>
          <w:color w:val="000000" w:themeColor="text1"/>
          <w:sz w:val="32"/>
          <w:szCs w:val="32"/>
          <w:shd w:val="clear" w:color="auto" w:fill="FFFFFF"/>
          <w:lang w:eastAsia="zh-CN"/>
          <w14:textFill>
            <w14:solidFill>
              <w14:schemeClr w14:val="tx1"/>
            </w14:solidFill>
          </w14:textFill>
        </w:rPr>
        <w:t>（三）筹措资金，持续改善特校办学条件。</w:t>
      </w:r>
      <w:r>
        <w:rPr>
          <w:rFonts w:hint="eastAsia" w:ascii="仿宋_GB2312" w:eastAsia="仿宋_GB2312"/>
          <w:sz w:val="32"/>
          <w:szCs w:val="32"/>
        </w:rPr>
        <w:t>争取上级资金35万元，对280米危旧院墙进行了拆除重建；自筹资金约25万元，更换了班级教学用</w:t>
      </w:r>
      <w:r>
        <w:rPr>
          <w:rFonts w:hint="eastAsia" w:ascii="仿宋_GB2312" w:eastAsia="仿宋_GB2312"/>
          <w:sz w:val="32"/>
          <w:szCs w:val="32"/>
          <w:lang w:val="en-US" w:eastAsia="zh-CN"/>
        </w:rPr>
        <w:t>的</w:t>
      </w:r>
      <w:r>
        <w:rPr>
          <w:rFonts w:hint="eastAsia" w:ascii="仿宋_GB2312" w:eastAsia="仿宋_GB2312"/>
          <w:sz w:val="32"/>
          <w:szCs w:val="32"/>
        </w:rPr>
        <w:t>智慧黑板、电脑，购置30套学生课桌椅；投资约20万元对校园喷泉、凉亭、操场进行了维修改造，办学条件进一步提升。</w:t>
      </w:r>
    </w:p>
    <w:p w14:paraId="629598F1">
      <w:pPr>
        <w:pStyle w:val="5"/>
        <w:spacing w:after="0" w:line="560" w:lineRule="exact"/>
        <w:ind w:left="0" w:leftChars="0" w:firstLine="640" w:firstLineChars="200"/>
        <w:rPr>
          <w:rStyle w:val="13"/>
          <w:rFonts w:ascii="仿宋_GB2312" w:hAnsi="黑体" w:eastAsia="仿宋_GB2312" w:cs="黑体"/>
          <w:b w:val="0"/>
          <w:bCs/>
          <w:color w:val="000000" w:themeColor="text1"/>
          <w:sz w:val="32"/>
          <w:szCs w:val="32"/>
          <w:shd w:val="clear" w:color="auto" w:fill="FFFFFF"/>
          <w14:textFill>
            <w14:solidFill>
              <w14:schemeClr w14:val="tx1"/>
            </w14:solidFill>
          </w14:textFill>
        </w:rPr>
      </w:pPr>
      <w:r>
        <w:rPr>
          <w:rStyle w:val="13"/>
          <w:rFonts w:hint="eastAsia" w:ascii="楷体_GB2312" w:hAnsi="黑体" w:eastAsia="楷体" w:cs="黑体"/>
          <w:b w:val="0"/>
          <w:bCs/>
          <w:color w:val="000000" w:themeColor="text1"/>
          <w:sz w:val="32"/>
          <w:szCs w:val="32"/>
          <w:shd w:val="clear" w:color="auto" w:fill="FFFFFF"/>
          <w:lang w:eastAsia="zh-CN"/>
          <w14:textFill>
            <w14:solidFill>
              <w14:schemeClr w14:val="tx1"/>
            </w14:solidFill>
          </w14:textFill>
        </w:rPr>
        <w:t>（四）争取力量爱心助残助学，主动融入融合社会</w:t>
      </w:r>
      <w:r>
        <w:rPr>
          <w:rFonts w:hint="eastAsia" w:ascii="仿宋_GB2312" w:eastAsia="仿宋_GB2312"/>
          <w:sz w:val="32"/>
          <w:szCs w:val="32"/>
        </w:rPr>
        <w:t>。学校争取爱心人士资金26800元，资助53个特困学生家庭；先后邀请县检察院干警进校普法，河南省桃花深处旅游有限公司进特校捐赠爱心草莓、桑葚等水果，国家电网内黄分公司“六一”关爱贫困儿童捐赠夏凉被、县威娜理发店爱心理发进特校为孩子们义务理发。组织特校学生走进社会体验手工义卖、超市购物、硝河畅游、清明扫墓、理发店服务、体验亲子乐园项目等活动，让特殊儿童走进社会，与社会相融合。</w:t>
      </w:r>
    </w:p>
    <w:p w14:paraId="00A6527F">
      <w:pPr>
        <w:pStyle w:val="9"/>
        <w:widowControl/>
        <w:shd w:val="clear" w:color="auto" w:fill="FFFFFF"/>
        <w:spacing w:beforeAutospacing="0" w:afterAutospacing="0" w:line="560" w:lineRule="exact"/>
        <w:ind w:firstLine="640" w:firstLineChars="200"/>
        <w:rPr>
          <w:rFonts w:ascii="黑体" w:hAnsi="黑体" w:eastAsia="黑体" w:cs="黑体"/>
          <w:b/>
          <w:color w:val="auto"/>
          <w:sz w:val="32"/>
          <w:szCs w:val="32"/>
        </w:rPr>
      </w:pPr>
      <w:r>
        <w:rPr>
          <w:rStyle w:val="13"/>
          <w:rFonts w:hint="eastAsia" w:ascii="黑体" w:hAnsi="黑体" w:eastAsia="黑体" w:cs="黑体"/>
          <w:b w:val="0"/>
          <w:bCs/>
          <w:color w:val="auto"/>
          <w:sz w:val="32"/>
          <w:szCs w:val="32"/>
          <w:shd w:val="clear" w:color="auto" w:fill="FFFFFF"/>
          <w:lang w:eastAsia="zh-CN"/>
        </w:rPr>
        <w:t>四</w:t>
      </w:r>
      <w:r>
        <w:rPr>
          <w:rStyle w:val="13"/>
          <w:rFonts w:hint="eastAsia" w:ascii="黑体" w:hAnsi="黑体" w:eastAsia="黑体" w:cs="黑体"/>
          <w:b w:val="0"/>
          <w:bCs/>
          <w:color w:val="auto"/>
          <w:sz w:val="32"/>
          <w:szCs w:val="32"/>
          <w:shd w:val="clear" w:color="auto" w:fill="FFFFFF"/>
        </w:rPr>
        <w:t>、加强监管，规范民办教育发展</w:t>
      </w:r>
    </w:p>
    <w:p w14:paraId="5298E6FF">
      <w:pPr>
        <w:spacing w:line="560" w:lineRule="exact"/>
        <w:ind w:firstLine="640" w:firstLineChars="200"/>
        <w:rPr>
          <w:rStyle w:val="13"/>
          <w:rFonts w:hint="eastAsia" w:ascii="楷体_GB2312" w:hAnsi="黑体" w:eastAsia="仿宋_GB2312" w:cs="黑体"/>
          <w:b w:val="0"/>
          <w:bCs/>
          <w:color w:val="000000" w:themeColor="text1"/>
          <w:kern w:val="2"/>
          <w:sz w:val="32"/>
          <w:szCs w:val="32"/>
          <w:highlight w:val="none"/>
          <w:shd w:val="clear" w:color="auto" w:fill="FFFFFF"/>
          <w:lang w:val="en-US" w:eastAsia="zh-CN" w:bidi="ar-SA"/>
          <w14:textFill>
            <w14:solidFill>
              <w14:schemeClr w14:val="tx1"/>
            </w14:solidFill>
          </w14:textFill>
        </w:rPr>
      </w:pPr>
      <w:r>
        <w:rPr>
          <w:rStyle w:val="13"/>
          <w:rFonts w:hint="eastAsia" w:ascii="楷体_GB2312" w:hAnsi="黑体" w:eastAsia="楷体" w:cs="黑体"/>
          <w:b w:val="0"/>
          <w:bCs/>
          <w:color w:val="000000" w:themeColor="text1"/>
          <w:kern w:val="2"/>
          <w:sz w:val="32"/>
          <w:szCs w:val="32"/>
          <w:highlight w:val="none"/>
          <w:shd w:val="clear" w:color="auto" w:fill="FFFFFF"/>
          <w:lang w:val="en-US" w:eastAsia="zh-CN" w:bidi="ar-SA"/>
          <w14:textFill>
            <w14:solidFill>
              <w14:schemeClr w14:val="tx1"/>
            </w14:solidFill>
          </w14:textFill>
        </w:rPr>
        <w:t>（一）开展民办学校年检工作。</w:t>
      </w:r>
      <w:r>
        <w:rPr>
          <w:rFonts w:hint="eastAsia" w:ascii="仿宋_GB2312" w:eastAsia="仿宋_GB2312"/>
          <w:color w:val="auto"/>
          <w:sz w:val="32"/>
          <w:szCs w:val="32"/>
          <w:highlight w:val="none"/>
          <w:lang w:val="en-US" w:eastAsia="zh-CN"/>
        </w:rPr>
        <w:t>召开内黄县民办学校2024年度检查工作部署会，</w:t>
      </w:r>
      <w:r>
        <w:rPr>
          <w:rFonts w:hint="eastAsia" w:ascii="仿宋_GB2312" w:eastAsia="仿宋_GB2312"/>
          <w:color w:val="auto"/>
          <w:sz w:val="32"/>
          <w:szCs w:val="32"/>
          <w:highlight w:val="none"/>
          <w:lang w:eastAsia="zh-CN"/>
        </w:rPr>
        <w:t>印发年检文件，组</w:t>
      </w:r>
      <w:r>
        <w:rPr>
          <w:rFonts w:hint="eastAsia" w:ascii="仿宋_GB2312" w:hAnsi="Times New Roman" w:eastAsia="仿宋_GB2312" w:cs="Times New Roman"/>
          <w:kern w:val="2"/>
          <w:sz w:val="32"/>
          <w:szCs w:val="32"/>
          <w:highlight w:val="none"/>
          <w:lang w:val="en-US" w:eastAsia="zh-CN" w:bidi="ar-SA"/>
        </w:rPr>
        <w:t>织人员开展民办学校年检工作，年检工作完成后，公布年检结果。</w:t>
      </w:r>
    </w:p>
    <w:p w14:paraId="7B0C1169">
      <w:pPr>
        <w:spacing w:line="560" w:lineRule="exact"/>
        <w:ind w:firstLine="640" w:firstLineChars="200"/>
        <w:rPr>
          <w:rFonts w:ascii="仿宋_GB2312" w:hAnsi="仿宋" w:eastAsia="仿宋_GB2312" w:cs="仿宋"/>
          <w:color w:val="auto"/>
          <w:sz w:val="32"/>
          <w:szCs w:val="32"/>
        </w:rPr>
      </w:pPr>
      <w:r>
        <w:rPr>
          <w:rStyle w:val="13"/>
          <w:rFonts w:hint="eastAsia" w:ascii="楷体_GB2312" w:hAnsi="黑体" w:eastAsia="楷体" w:cs="黑体"/>
          <w:b w:val="0"/>
          <w:bCs/>
          <w:color w:val="000000" w:themeColor="text1"/>
          <w:kern w:val="2"/>
          <w:sz w:val="32"/>
          <w:szCs w:val="32"/>
          <w:shd w:val="clear" w:color="auto" w:fill="FFFFFF"/>
          <w:lang w:val="en-US" w:eastAsia="zh-CN" w:bidi="ar-SA"/>
          <w14:textFill>
            <w14:solidFill>
              <w14:schemeClr w14:val="tx1"/>
            </w14:solidFill>
          </w14:textFill>
        </w:rPr>
        <w:t>（二）变更学校办学类型。</w:t>
      </w:r>
      <w:r>
        <w:rPr>
          <w:rFonts w:hint="eastAsia" w:ascii="仿宋_GB2312" w:eastAsia="仿宋_GB2312"/>
          <w:color w:val="auto"/>
          <w:sz w:val="32"/>
          <w:szCs w:val="32"/>
        </w:rPr>
        <w:t>内黄县东方中学和鹏程学校两</w:t>
      </w:r>
      <w:r>
        <w:rPr>
          <w:rFonts w:hint="eastAsia" w:ascii="仿宋_GB2312" w:eastAsia="仿宋_GB2312"/>
          <w:color w:val="auto"/>
          <w:sz w:val="32"/>
          <w:szCs w:val="32"/>
          <w:lang w:val="en-US" w:eastAsia="zh-CN"/>
        </w:rPr>
        <w:t>所</w:t>
      </w:r>
      <w:r>
        <w:rPr>
          <w:rFonts w:hint="eastAsia" w:ascii="仿宋_GB2312" w:eastAsia="仿宋_GB2312"/>
          <w:color w:val="auto"/>
          <w:sz w:val="32"/>
          <w:szCs w:val="32"/>
        </w:rPr>
        <w:t>学校申请增设高中部，停止小学部招生，已完成审批工作，并于2024年秋季开始，招收普通高中学生，有</w:t>
      </w:r>
      <w:r>
        <w:rPr>
          <w:rFonts w:hint="eastAsia" w:ascii="仿宋_GB2312" w:hAnsi="仿宋" w:eastAsia="仿宋_GB2312" w:cs="仿宋"/>
          <w:color w:val="auto"/>
          <w:sz w:val="32"/>
          <w:szCs w:val="32"/>
        </w:rPr>
        <w:t>效缓解</w:t>
      </w:r>
      <w:r>
        <w:rPr>
          <w:rFonts w:hint="eastAsia" w:ascii="仿宋_GB2312" w:hAnsi="仿宋" w:eastAsia="仿宋_GB2312" w:cs="仿宋"/>
          <w:color w:val="auto"/>
          <w:sz w:val="32"/>
          <w:szCs w:val="32"/>
          <w:lang w:eastAsia="zh-CN"/>
        </w:rPr>
        <w:t>了</w:t>
      </w:r>
      <w:r>
        <w:rPr>
          <w:rFonts w:hint="eastAsia" w:ascii="仿宋_GB2312" w:hAnsi="仿宋" w:eastAsia="仿宋_GB2312" w:cs="仿宋"/>
          <w:color w:val="auto"/>
          <w:sz w:val="32"/>
          <w:szCs w:val="32"/>
        </w:rPr>
        <w:t>全县普通高中招生压力。</w:t>
      </w:r>
    </w:p>
    <w:p w14:paraId="61EBDF8E">
      <w:pPr>
        <w:spacing w:line="560" w:lineRule="exact"/>
        <w:ind w:firstLine="640" w:firstLineChars="200"/>
        <w:rPr>
          <w:rFonts w:ascii="仿宋_GB2312" w:eastAsia="仿宋_GB2312"/>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三</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召开2024年规范民办学校管理工作专题会</w:t>
      </w:r>
      <w:r>
        <w:rPr>
          <w:rFonts w:hint="eastAsia" w:ascii="仿宋_GB2312" w:eastAsia="仿宋_GB2312"/>
          <w:color w:val="auto"/>
          <w:sz w:val="32"/>
          <w:szCs w:val="32"/>
        </w:rPr>
        <w:t>，对全县民办学校规范管理工作进行安排部署，并印发《内黄县教育局关于进一步加强民办学校管理的意见》，强化民办义务教育学校管理，规范办学行为，促进民办义务教育健康有序发展。</w:t>
      </w:r>
    </w:p>
    <w:p w14:paraId="35531B37">
      <w:pPr>
        <w:spacing w:line="560" w:lineRule="exact"/>
        <w:ind w:firstLine="640" w:firstLineChars="200"/>
        <w:rPr>
          <w:rFonts w:ascii="仿宋_GB2312" w:eastAsia="仿宋_GB2312"/>
          <w:color w:val="auto"/>
          <w:sz w:val="32"/>
          <w:szCs w:val="32"/>
        </w:rPr>
      </w:pPr>
      <w:r>
        <w:rPr>
          <w:rFonts w:hint="eastAsia" w:ascii="楷体" w:hAnsi="楷体" w:eastAsia="楷体" w:cs="楷体"/>
          <w:color w:val="auto"/>
          <w:sz w:val="32"/>
          <w:szCs w:val="32"/>
          <w:lang w:eastAsia="zh-CN"/>
        </w:rPr>
        <w:t>（四）扎实开展民办教育规范提升年活动。</w:t>
      </w:r>
      <w:r>
        <w:rPr>
          <w:rFonts w:hint="eastAsia" w:ascii="仿宋_GB2312" w:eastAsia="仿宋_GB2312"/>
          <w:color w:val="auto"/>
          <w:sz w:val="32"/>
          <w:szCs w:val="32"/>
        </w:rPr>
        <w:t>制定印发《内黄县民办教育规范提升年暨规范民办学校办学行为专项行动实施方案》，全面梳理排查民办学校办学行为，加强民办学校的管理，不断提升民办学校治理能力和水平，引导规范民办教育发展。进一步规范民办学校办学行为。</w:t>
      </w:r>
    </w:p>
    <w:p w14:paraId="17FF9FE5">
      <w:pPr>
        <w:spacing w:line="560" w:lineRule="exact"/>
        <w:ind w:firstLine="640" w:firstLineChars="200"/>
        <w:rPr>
          <w:rFonts w:hint="eastAsia" w:ascii="仿宋_GB2312" w:eastAsia="仿宋_GB2312"/>
          <w:color w:val="auto"/>
          <w:sz w:val="32"/>
          <w:szCs w:val="32"/>
          <w:lang w:val="en-US" w:eastAsia="zh-CN"/>
        </w:rPr>
      </w:pPr>
      <w:r>
        <w:rPr>
          <w:rFonts w:hint="eastAsia" w:ascii="楷体" w:hAnsi="楷体" w:eastAsia="楷体" w:cs="楷体"/>
          <w:color w:val="auto"/>
          <w:sz w:val="32"/>
          <w:szCs w:val="32"/>
          <w:lang w:eastAsia="zh-CN"/>
        </w:rPr>
        <w:t>（五）规范民办义务教育占比。</w:t>
      </w:r>
      <w:r>
        <w:rPr>
          <w:rFonts w:hint="eastAsia" w:ascii="仿宋_GB2312" w:eastAsia="仿宋_GB2312"/>
          <w:color w:val="auto"/>
          <w:sz w:val="32"/>
          <w:szCs w:val="32"/>
        </w:rPr>
        <w:t>按照民办义务教育占比不超5%</w:t>
      </w:r>
      <w:r>
        <w:rPr>
          <w:rFonts w:hint="eastAsia" w:ascii="仿宋_GB2312" w:eastAsia="仿宋_GB2312"/>
          <w:color w:val="auto"/>
          <w:sz w:val="32"/>
          <w:szCs w:val="32"/>
          <w:lang w:val="en-US" w:eastAsia="zh-CN"/>
        </w:rPr>
        <w:t>的</w:t>
      </w:r>
      <w:r>
        <w:rPr>
          <w:rFonts w:hint="eastAsia" w:ascii="仿宋_GB2312" w:eastAsia="仿宋_GB2312"/>
          <w:color w:val="auto"/>
          <w:sz w:val="32"/>
          <w:szCs w:val="32"/>
        </w:rPr>
        <w:t>要求，规范核定2024年秋民办义务教育学校招生计划，按照全县6周岁适龄儿童5%核算，共计460人。2024年秋，全县义务教育阶段学校在校生103520人，民办义务教育学校在校生12784人，民办义务教育12.35%，为达到民办义务教育占比不超5%要求，需政府购买学位7713人，需购买学位资金2932500</w:t>
      </w:r>
      <w:r>
        <w:rPr>
          <w:rFonts w:hint="eastAsia" w:ascii="仿宋_GB2312" w:eastAsia="仿宋_GB2312"/>
          <w:color w:val="auto"/>
          <w:sz w:val="32"/>
          <w:szCs w:val="32"/>
          <w:lang w:val="en-US" w:eastAsia="zh-CN"/>
        </w:rPr>
        <w:t>元。</w:t>
      </w:r>
    </w:p>
    <w:p w14:paraId="5D064D8D">
      <w:pPr>
        <w:pStyle w:val="9"/>
        <w:widowControl/>
        <w:spacing w:beforeAutospacing="0" w:afterAutospacing="0" w:line="560" w:lineRule="exact"/>
        <w:ind w:firstLine="555"/>
        <w:rPr>
          <w:rFonts w:ascii="仿宋" w:hAnsi="仿宋" w:eastAsia="仿宋" w:cs="仿宋"/>
          <w:sz w:val="32"/>
          <w:szCs w:val="32"/>
        </w:rPr>
      </w:pPr>
      <w:bookmarkStart w:id="0" w:name="_GoBack"/>
      <w:bookmarkEnd w:id="0"/>
    </w:p>
    <w:p w14:paraId="5254F646">
      <w:pPr>
        <w:pStyle w:val="9"/>
        <w:widowControl/>
        <w:spacing w:beforeAutospacing="0" w:afterAutospacing="0" w:line="560" w:lineRule="exact"/>
        <w:ind w:firstLine="555"/>
        <w:rPr>
          <w:rFonts w:ascii="仿宋" w:hAnsi="仿宋" w:eastAsia="仿宋" w:cs="仿宋"/>
          <w:sz w:val="32"/>
          <w:szCs w:val="32"/>
        </w:rPr>
      </w:pPr>
    </w:p>
    <w:p w14:paraId="10EC3C36">
      <w:pPr>
        <w:pStyle w:val="9"/>
        <w:widowControl/>
        <w:spacing w:beforeAutospacing="0" w:afterAutospacing="0" w:line="560" w:lineRule="exact"/>
        <w:ind w:firstLine="4800" w:firstLineChars="1500"/>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年12月</w:t>
      </w:r>
      <w:r>
        <w:rPr>
          <w:rFonts w:hint="eastAsia" w:ascii="仿宋_GB2312" w:hAnsi="仿宋" w:eastAsia="仿宋_GB2312" w:cs="仿宋"/>
          <w:sz w:val="32"/>
          <w:szCs w:val="32"/>
          <w:lang w:val="en-US" w:eastAsia="zh-CN"/>
        </w:rPr>
        <w:t>28</w:t>
      </w:r>
      <w:r>
        <w:rPr>
          <w:rFonts w:hint="eastAsia" w:ascii="仿宋_GB2312" w:hAnsi="仿宋" w:eastAsia="仿宋_GB2312" w:cs="仿宋"/>
          <w:sz w:val="32"/>
          <w:szCs w:val="32"/>
        </w:rPr>
        <w:t>日</w:t>
      </w:r>
    </w:p>
    <w:sectPr>
      <w:headerReference r:id="rId5" w:type="first"/>
      <w:footerReference r:id="rId8" w:type="first"/>
      <w:headerReference r:id="rId3" w:type="default"/>
      <w:footerReference r:id="rId6" w:type="default"/>
      <w:headerReference r:id="rId4" w:type="even"/>
      <w:footerReference r:id="rId7" w:type="even"/>
      <w:pgSz w:w="11906" w:h="16838"/>
      <w:pgMar w:top="1440" w:right="1418" w:bottom="1440" w:left="1588" w:header="851" w:footer="68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3935820"/>
    </w:sdtPr>
    <w:sdtContent>
      <w:p w14:paraId="2F0B2865">
        <w:pPr>
          <w:pStyle w:val="7"/>
          <w:jc w:val="center"/>
        </w:pPr>
        <w:r>
          <w:fldChar w:fldCharType="begin"/>
        </w:r>
        <w:r>
          <w:instrText xml:space="preserve"> PAGE   \* MERGEFORMAT </w:instrText>
        </w:r>
        <w:r>
          <w:fldChar w:fldCharType="separate"/>
        </w:r>
        <w:r>
          <w:rPr>
            <w:lang w:val="zh-CN"/>
          </w:rPr>
          <w:t>1</w:t>
        </w:r>
        <w:r>
          <w:rPr>
            <w:lang w:val="zh-CN"/>
          </w:rPr>
          <w:fldChar w:fldCharType="end"/>
        </w:r>
      </w:p>
    </w:sdtContent>
  </w:sdt>
  <w:p w14:paraId="2068ECA1">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AACB6">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22045">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8A9B1">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8F81B">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08136">
    <w:pPr>
      <w:pStyle w:val="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zZjJiNDZmYTY3NGVkZGY1NjNlNzdlNjVhYzg1ODYifQ=="/>
  </w:docVars>
  <w:rsids>
    <w:rsidRoot w:val="37EC40B1"/>
    <w:rsid w:val="00044069"/>
    <w:rsid w:val="000A1619"/>
    <w:rsid w:val="000C4BE4"/>
    <w:rsid w:val="000C57BB"/>
    <w:rsid w:val="000E1608"/>
    <w:rsid w:val="000E7D82"/>
    <w:rsid w:val="000F73C5"/>
    <w:rsid w:val="00211D05"/>
    <w:rsid w:val="00212719"/>
    <w:rsid w:val="00212975"/>
    <w:rsid w:val="002F3723"/>
    <w:rsid w:val="003301E7"/>
    <w:rsid w:val="00341623"/>
    <w:rsid w:val="003E5B51"/>
    <w:rsid w:val="003F2B61"/>
    <w:rsid w:val="004102EB"/>
    <w:rsid w:val="00432A0F"/>
    <w:rsid w:val="00432A9E"/>
    <w:rsid w:val="00443652"/>
    <w:rsid w:val="00444C99"/>
    <w:rsid w:val="00474FE7"/>
    <w:rsid w:val="004B05A6"/>
    <w:rsid w:val="004B68EA"/>
    <w:rsid w:val="004C72D3"/>
    <w:rsid w:val="004D75B6"/>
    <w:rsid w:val="00537ED1"/>
    <w:rsid w:val="00562033"/>
    <w:rsid w:val="00573627"/>
    <w:rsid w:val="00581245"/>
    <w:rsid w:val="00594513"/>
    <w:rsid w:val="005E712F"/>
    <w:rsid w:val="005E78CE"/>
    <w:rsid w:val="00640EEB"/>
    <w:rsid w:val="00656D62"/>
    <w:rsid w:val="006B2B30"/>
    <w:rsid w:val="006E7857"/>
    <w:rsid w:val="00705CAA"/>
    <w:rsid w:val="007206DC"/>
    <w:rsid w:val="00755B2B"/>
    <w:rsid w:val="00762D4D"/>
    <w:rsid w:val="007739D1"/>
    <w:rsid w:val="00786E22"/>
    <w:rsid w:val="0079111D"/>
    <w:rsid w:val="00791CDD"/>
    <w:rsid w:val="00842015"/>
    <w:rsid w:val="008443C5"/>
    <w:rsid w:val="00851BFB"/>
    <w:rsid w:val="00867BCB"/>
    <w:rsid w:val="00894DFE"/>
    <w:rsid w:val="008D480C"/>
    <w:rsid w:val="009069E1"/>
    <w:rsid w:val="00947903"/>
    <w:rsid w:val="0097034D"/>
    <w:rsid w:val="009934B6"/>
    <w:rsid w:val="009B1108"/>
    <w:rsid w:val="00B71DFB"/>
    <w:rsid w:val="00BD4BB6"/>
    <w:rsid w:val="00BD64B6"/>
    <w:rsid w:val="00BF0693"/>
    <w:rsid w:val="00BF7CF3"/>
    <w:rsid w:val="00C13BB2"/>
    <w:rsid w:val="00C21E66"/>
    <w:rsid w:val="00C51D11"/>
    <w:rsid w:val="00C71B8D"/>
    <w:rsid w:val="00C76BB7"/>
    <w:rsid w:val="00CA009E"/>
    <w:rsid w:val="00CA584E"/>
    <w:rsid w:val="00CA631E"/>
    <w:rsid w:val="00CE3806"/>
    <w:rsid w:val="00D05DED"/>
    <w:rsid w:val="00D119B4"/>
    <w:rsid w:val="00D32FF4"/>
    <w:rsid w:val="00D607FE"/>
    <w:rsid w:val="00D7447E"/>
    <w:rsid w:val="00D80893"/>
    <w:rsid w:val="00D93914"/>
    <w:rsid w:val="00DA13E3"/>
    <w:rsid w:val="00DD467A"/>
    <w:rsid w:val="00DE7F53"/>
    <w:rsid w:val="00E365B1"/>
    <w:rsid w:val="00EB58DA"/>
    <w:rsid w:val="00EE2C54"/>
    <w:rsid w:val="00EF16FF"/>
    <w:rsid w:val="00F0532B"/>
    <w:rsid w:val="00F272B7"/>
    <w:rsid w:val="00F84CA3"/>
    <w:rsid w:val="01352967"/>
    <w:rsid w:val="018C77EA"/>
    <w:rsid w:val="03195159"/>
    <w:rsid w:val="093B7C41"/>
    <w:rsid w:val="0ACB1668"/>
    <w:rsid w:val="0F9467DE"/>
    <w:rsid w:val="17B04EAD"/>
    <w:rsid w:val="18807C6B"/>
    <w:rsid w:val="1A6A6061"/>
    <w:rsid w:val="1AAC764B"/>
    <w:rsid w:val="1BC42285"/>
    <w:rsid w:val="1E423E22"/>
    <w:rsid w:val="1EBA7398"/>
    <w:rsid w:val="20F621DE"/>
    <w:rsid w:val="22A5255D"/>
    <w:rsid w:val="23EC069C"/>
    <w:rsid w:val="26EE0F6E"/>
    <w:rsid w:val="2AE5754B"/>
    <w:rsid w:val="2C0C6063"/>
    <w:rsid w:val="2D3B5B6C"/>
    <w:rsid w:val="2EC708BB"/>
    <w:rsid w:val="33354DE7"/>
    <w:rsid w:val="33D309A5"/>
    <w:rsid w:val="36A30297"/>
    <w:rsid w:val="37EC40B1"/>
    <w:rsid w:val="3BAD7BF5"/>
    <w:rsid w:val="3FD533D3"/>
    <w:rsid w:val="41881B6A"/>
    <w:rsid w:val="442D0402"/>
    <w:rsid w:val="483C4A0D"/>
    <w:rsid w:val="4EF37BD9"/>
    <w:rsid w:val="51042BA9"/>
    <w:rsid w:val="51644DBE"/>
    <w:rsid w:val="569122EA"/>
    <w:rsid w:val="58793764"/>
    <w:rsid w:val="5BFB6F81"/>
    <w:rsid w:val="5BFF5B2E"/>
    <w:rsid w:val="5C4C6CD0"/>
    <w:rsid w:val="5D64156A"/>
    <w:rsid w:val="627E4BA4"/>
    <w:rsid w:val="640B0B63"/>
    <w:rsid w:val="651E3CF7"/>
    <w:rsid w:val="6C007039"/>
    <w:rsid w:val="70C43143"/>
    <w:rsid w:val="70D0075C"/>
    <w:rsid w:val="77796A2D"/>
    <w:rsid w:val="7844304C"/>
    <w:rsid w:val="7A441E15"/>
    <w:rsid w:val="7AF95D1E"/>
    <w:rsid w:val="7C626634"/>
    <w:rsid w:val="7E3D708B"/>
    <w:rsid w:val="7F6F7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rPr>
      <w:rFonts w:eastAsia="仿宋" w:asciiTheme="minorAscii" w:hAnsiTheme="minorAscii" w:cstheme="minorBidi"/>
      <w:sz w:val="32"/>
    </w:rPr>
  </w:style>
  <w:style w:type="paragraph" w:styleId="4">
    <w:name w:val="Body Text"/>
    <w:basedOn w:val="1"/>
    <w:next w:val="1"/>
    <w:autoRedefine/>
    <w:qFormat/>
    <w:uiPriority w:val="0"/>
    <w:pPr>
      <w:spacing w:after="120"/>
    </w:pPr>
    <w:rPr>
      <w:rFonts w:ascii="Times New Roman" w:hAnsi="Times New Roman" w:eastAsia="宋体" w:cs="Times New Roman"/>
    </w:rPr>
  </w:style>
  <w:style w:type="paragraph" w:styleId="5">
    <w:name w:val="Body Text Indent 2"/>
    <w:basedOn w:val="1"/>
    <w:link w:val="16"/>
    <w:autoRedefine/>
    <w:unhideWhenUsed/>
    <w:qFormat/>
    <w:uiPriority w:val="99"/>
    <w:pPr>
      <w:spacing w:after="120" w:line="480" w:lineRule="auto"/>
      <w:ind w:left="420" w:leftChars="200"/>
    </w:pPr>
    <w:rPr>
      <w:rFonts w:ascii="Times New Roman" w:hAnsi="Times New Roman" w:eastAsia="宋体" w:cs="Times New Roman"/>
    </w:rPr>
  </w:style>
  <w:style w:type="paragraph" w:styleId="6">
    <w:name w:val="Balloon Text"/>
    <w:basedOn w:val="1"/>
    <w:link w:val="17"/>
    <w:qFormat/>
    <w:uiPriority w:val="0"/>
    <w:rPr>
      <w:sz w:val="18"/>
      <w:szCs w:val="18"/>
    </w:rPr>
  </w:style>
  <w:style w:type="paragraph" w:styleId="7">
    <w:name w:val="footer"/>
    <w:basedOn w:val="1"/>
    <w:link w:val="15"/>
    <w:autoRedefine/>
    <w:qFormat/>
    <w:uiPriority w:val="99"/>
    <w:pPr>
      <w:tabs>
        <w:tab w:val="center" w:pos="4153"/>
        <w:tab w:val="right" w:pos="8306"/>
      </w:tabs>
      <w:snapToGrid w:val="0"/>
      <w:jc w:val="left"/>
    </w:pPr>
    <w:rPr>
      <w:sz w:val="18"/>
      <w:szCs w:val="18"/>
    </w:rPr>
  </w:style>
  <w:style w:type="paragraph" w:styleId="8">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autoRedefine/>
    <w:qFormat/>
    <w:uiPriority w:val="0"/>
    <w:pPr>
      <w:spacing w:beforeAutospacing="1" w:afterAutospacing="1"/>
      <w:jc w:val="left"/>
    </w:pPr>
    <w:rPr>
      <w:rFonts w:cs="Times New Roman"/>
      <w:kern w:val="0"/>
      <w:sz w:val="24"/>
    </w:rPr>
  </w:style>
  <w:style w:type="paragraph" w:styleId="10">
    <w:name w:val="Body Text First Indent"/>
    <w:basedOn w:val="4"/>
    <w:next w:val="1"/>
    <w:autoRedefine/>
    <w:qFormat/>
    <w:uiPriority w:val="0"/>
    <w:pPr>
      <w:ind w:firstLine="420" w:firstLineChars="100"/>
    </w:pPr>
  </w:style>
  <w:style w:type="character" w:styleId="13">
    <w:name w:val="Strong"/>
    <w:basedOn w:val="12"/>
    <w:qFormat/>
    <w:uiPriority w:val="0"/>
    <w:rPr>
      <w:b/>
    </w:rPr>
  </w:style>
  <w:style w:type="character" w:customStyle="1" w:styleId="14">
    <w:name w:val="页眉 Char"/>
    <w:basedOn w:val="12"/>
    <w:link w:val="8"/>
    <w:autoRedefine/>
    <w:qFormat/>
    <w:uiPriority w:val="0"/>
    <w:rPr>
      <w:rFonts w:asciiTheme="minorHAnsi" w:hAnsiTheme="minorHAnsi" w:eastAsiaTheme="minorEastAsia" w:cstheme="minorBidi"/>
      <w:kern w:val="2"/>
      <w:sz w:val="18"/>
      <w:szCs w:val="18"/>
    </w:rPr>
  </w:style>
  <w:style w:type="character" w:customStyle="1" w:styleId="15">
    <w:name w:val="页脚 Char"/>
    <w:basedOn w:val="12"/>
    <w:link w:val="7"/>
    <w:autoRedefine/>
    <w:qFormat/>
    <w:uiPriority w:val="99"/>
    <w:rPr>
      <w:rFonts w:asciiTheme="minorHAnsi" w:hAnsiTheme="minorHAnsi" w:eastAsiaTheme="minorEastAsia" w:cstheme="minorBidi"/>
      <w:kern w:val="2"/>
      <w:sz w:val="18"/>
      <w:szCs w:val="18"/>
    </w:rPr>
  </w:style>
  <w:style w:type="character" w:customStyle="1" w:styleId="16">
    <w:name w:val="正文文本缩进 2 Char"/>
    <w:basedOn w:val="12"/>
    <w:link w:val="5"/>
    <w:autoRedefine/>
    <w:qFormat/>
    <w:uiPriority w:val="99"/>
    <w:rPr>
      <w:kern w:val="2"/>
      <w:sz w:val="21"/>
      <w:szCs w:val="24"/>
    </w:rPr>
  </w:style>
  <w:style w:type="character" w:customStyle="1" w:styleId="17">
    <w:name w:val="批注框文本 Char"/>
    <w:basedOn w:val="12"/>
    <w:link w:val="6"/>
    <w:qFormat/>
    <w:uiPriority w:val="0"/>
    <w:rPr>
      <w:rFonts w:asciiTheme="minorHAnsi" w:hAnsiTheme="minorHAnsi" w:eastAsiaTheme="minorEastAsia" w:cstheme="minorBidi"/>
      <w:kern w:val="2"/>
      <w:sz w:val="18"/>
      <w:szCs w:val="18"/>
    </w:rPr>
  </w:style>
  <w:style w:type="paragraph" w:customStyle="1" w:styleId="18">
    <w:name w:val="List Paragraph"/>
    <w:basedOn w:val="1"/>
    <w:qFormat/>
    <w:uiPriority w:val="0"/>
    <w:pPr>
      <w:ind w:firstLine="420" w:firstLineChars="200"/>
    </w:pPr>
    <w:rPr>
      <w:rFonts w:ascii="Calibri" w:hAnsi="Calibri" w:cs="宋体"/>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6759</Words>
  <Characters>7135</Characters>
  <Lines>40</Lines>
  <Paragraphs>11</Paragraphs>
  <TotalTime>31</TotalTime>
  <ScaleCrop>false</ScaleCrop>
  <LinksUpToDate>false</LinksUpToDate>
  <CharactersWithSpaces>7142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2023-03-30T08:38:00Z</dcterms:created>
  <dc:creator>Administrator</dc:creator>
  <cp:lastModifiedBy>水木清华</cp:lastModifiedBy>
  <cp:lastPrinted>2023-12-27T01:46:00Z</cp:lastPrinted>
  <dcterms:modified xsi:type="dcterms:W3CDTF">2025-01-02T03:29:31Z</dcterms:modified>
  <cp:revision>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4A91B8D03ABF4299B9396588C3458776_13</vt:lpwstr>
  </property>
  <property fmtid="{D5CDD505-2E9C-101B-9397-08002B2CF9AE}" pid="4" name="KSOTemplateDocerSaveRecord">
    <vt:lpwstr>eyJoZGlkIjoiOTVkNjM0ODRmMjU1MDRhYmQxNjAwYTNiNTc0MjgzOWUiLCJ1c2VySWQiOiI0Nzk1Nzg3NjQifQ==</vt:lpwstr>
  </property>
</Properties>
</file>