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C19FBED">
      <w:pPr>
        <w:pStyle w:val="9"/>
        <w:widowControl/>
        <w:spacing w:beforeAutospacing="0" w:afterAutospacing="0" w:line="560" w:lineRule="exact"/>
        <w:ind w:firstLine="555"/>
        <w:rPr>
          <w:rStyle w:val="13"/>
          <w:rFonts w:hint="eastAsia" w:ascii="方正小标宋简体" w:hAnsi="方正小标宋简体" w:eastAsia="方正小标宋简体" w:cs="方正小标宋简体"/>
          <w:b w:val="0"/>
          <w:sz w:val="36"/>
          <w:szCs w:val="36"/>
        </w:rPr>
      </w:pPr>
      <w:r>
        <w:rPr>
          <w:rStyle w:val="13"/>
          <w:rFonts w:hint="eastAsia" w:ascii="方正小标宋简体" w:hAnsi="方正小标宋简体" w:eastAsia="方正小标宋简体" w:cs="方正小标宋简体"/>
          <w:b w:val="0"/>
          <w:sz w:val="36"/>
          <w:szCs w:val="36"/>
        </w:rPr>
        <w:t>内黄县教育局2024—2025学年教育教学工作报告</w:t>
      </w:r>
    </w:p>
    <w:p w14:paraId="1D74184C">
      <w:pPr>
        <w:pStyle w:val="9"/>
        <w:widowControl/>
        <w:spacing w:beforeAutospacing="0" w:afterAutospacing="0" w:line="560" w:lineRule="exact"/>
        <w:ind w:firstLine="555"/>
        <w:rPr>
          <w:rStyle w:val="13"/>
          <w:rFonts w:hint="eastAsia" w:ascii="方正小标宋简体" w:hAnsi="方正小标宋简体" w:eastAsia="方正小标宋简体" w:cs="方正小标宋简体"/>
          <w:b w:val="0"/>
          <w:sz w:val="36"/>
          <w:szCs w:val="36"/>
        </w:rPr>
      </w:pPr>
      <w:bookmarkStart w:id="0" w:name="_GoBack"/>
      <w:bookmarkEnd w:id="0"/>
    </w:p>
    <w:p w14:paraId="1DB03F4C">
      <w:pPr>
        <w:spacing w:line="52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2025年，内黄县教育局在县委、县政府的坚强领导下，在上级教育行政部门的正确指导下，全面贯彻党的教育方针，认真落实立德树人根本任务，</w:t>
      </w:r>
      <w:r>
        <w:rPr>
          <w:rFonts w:hint="eastAsia" w:ascii="仿宋_GB2312" w:eastAsia="仿宋_GB2312"/>
          <w:sz w:val="32"/>
        </w:rPr>
        <w:t>根据2025年工作要点，围绕“17431”工作部署，认真落实“双减”政策，扎实推进教育教学特色展示活动，打造活力校园，抓实教育教学管理，提升育人质量，积极推进基础教育高质量发展。</w:t>
      </w:r>
      <w:r>
        <w:rPr>
          <w:rFonts w:hint="eastAsia" w:ascii="仿宋" w:hAnsi="仿宋" w:eastAsia="仿宋" w:cs="仿宋"/>
          <w:sz w:val="32"/>
          <w:szCs w:val="32"/>
        </w:rPr>
        <w:t>现将2025年度全县教育教学质量情况报告如下。</w:t>
      </w:r>
    </w:p>
    <w:p w14:paraId="751DDF46">
      <w:pPr>
        <w:pStyle w:val="9"/>
        <w:widowControl/>
        <w:spacing w:beforeAutospacing="0" w:afterAutospacing="0"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</w:t>
      </w:r>
      <w:r>
        <w:rPr>
          <w:rFonts w:hint="eastAsia" w:ascii="黑体" w:hAnsi="黑体" w:eastAsia="黑体"/>
          <w:sz w:val="32"/>
          <w:szCs w:val="32"/>
        </w:rPr>
        <w:t>促进义务教育优质均衡发展</w:t>
      </w:r>
    </w:p>
    <w:p w14:paraId="00732433">
      <w:pPr>
        <w:pStyle w:val="9"/>
        <w:widowControl/>
        <w:spacing w:beforeAutospacing="0" w:afterAutospacing="0" w:line="560" w:lineRule="exact"/>
        <w:ind w:firstLine="630"/>
        <w:rPr>
          <w:rFonts w:hint="eastAsia" w:ascii="楷体_GB2312" w:eastAsia="楷体_GB2312"/>
          <w:sz w:val="32"/>
          <w:szCs w:val="32"/>
        </w:rPr>
      </w:pPr>
      <w:r>
        <w:rPr>
          <w:rFonts w:hint="eastAsia" w:ascii="楷体_GB2312" w:eastAsia="楷体_GB2312"/>
          <w:sz w:val="32"/>
          <w:szCs w:val="32"/>
        </w:rPr>
        <w:t>（一）促进公平，保障适龄儿童入学</w:t>
      </w:r>
    </w:p>
    <w:p w14:paraId="522D9980">
      <w:pPr>
        <w:pStyle w:val="9"/>
        <w:widowControl/>
        <w:spacing w:beforeAutospacing="0" w:afterAutospacing="0" w:line="560" w:lineRule="exact"/>
        <w:ind w:firstLine="630"/>
        <w:rPr>
          <w:rFonts w:hint="eastAsia" w:ascii="仿宋_GB2312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eastAsia="仿宋_GB2312"/>
          <w:b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1.落实免试就近入学政策。</w:t>
      </w:r>
      <w:r>
        <w:rPr>
          <w:rFonts w:hint="eastAsia" w:ascii="仿宋_GB2312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每年暑假，县教育局印发义务教育学校招生入学文件，严格落实年满6周岁，按照免试就近入学政策，乡镇义务教育学校按照户籍所在学区就近上小学初中，县城区义务教育学校按照招生范围，实行划片招生。2025年，全县九年义务教育净入学率为100%，确保了全县适龄儿童应入尽入。</w:t>
      </w:r>
    </w:p>
    <w:p w14:paraId="045A4A95">
      <w:pPr>
        <w:spacing w:line="520" w:lineRule="exact"/>
        <w:ind w:firstLine="643" w:firstLineChars="200"/>
        <w:rPr>
          <w:rFonts w:hint="eastAsia" w:ascii="仿宋_GB2312" w:eastAsia="仿宋_GB2312"/>
          <w:sz w:val="32"/>
        </w:rPr>
      </w:pPr>
      <w:r>
        <w:rPr>
          <w:rFonts w:hint="eastAsia" w:ascii="仿宋_GB2312" w:eastAsia="仿宋_GB2312"/>
          <w:b/>
          <w:sz w:val="32"/>
          <w:szCs w:val="32"/>
        </w:rPr>
        <w:t>2.</w:t>
      </w:r>
      <w:r>
        <w:rPr>
          <w:rFonts w:hint="eastAsia" w:ascii="仿宋_GB2312" w:eastAsia="仿宋_GB2312" w:cs="Times New Roman"/>
          <w:b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扎实开展控辍保学工作</w:t>
      </w:r>
      <w:r>
        <w:rPr>
          <w:rFonts w:hint="eastAsia" w:ascii="仿宋_GB2312" w:eastAsia="仿宋_GB2312"/>
          <w:b/>
          <w:sz w:val="32"/>
          <w:szCs w:val="32"/>
        </w:rPr>
        <w:t>。</w:t>
      </w:r>
      <w:r>
        <w:rPr>
          <w:rFonts w:hint="eastAsia" w:ascii="仿宋_GB2312" w:eastAsia="仿宋_GB2312"/>
          <w:sz w:val="32"/>
        </w:rPr>
        <w:t>一是强化组织领导，印发《义务教育阶段控辍保学工作的实施方案》，先后召开控辍保学专题会、调度会等12次，教育系统成立控辍保学工作领导小组，实行教育局班子成员分包乡校责任制，形成全县教育系统一级抓一级，层层抓落实的工作格局。二是开展专项行动。今年暑期，通过大排查、大培训、大劝返、大提升等4个阶段，扎实推进控辍保学工作深入持久开展。通过培训规范劝返工作，通过户籍与学籍比对等 “四查三比对”及“铁脚板摸排”的方式，精准掌握适龄儿童少年就学情况。三是加强特殊群体学生关爱。学校对脱贫户、留守儿童、单亲家庭、有心理障碍、残疾学生、学困生等重点群体学生建立台账，开展关爱帮扶活动。</w:t>
      </w:r>
    </w:p>
    <w:p w14:paraId="32E239EC">
      <w:pPr>
        <w:pStyle w:val="9"/>
        <w:widowControl/>
        <w:spacing w:beforeAutospacing="0" w:afterAutospacing="0" w:line="560" w:lineRule="exact"/>
        <w:ind w:firstLine="63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b/>
          <w:sz w:val="32"/>
          <w:szCs w:val="32"/>
        </w:rPr>
        <w:t>3.扎实开展送教上门工作。</w:t>
      </w:r>
      <w:r>
        <w:rPr>
          <w:rFonts w:hint="eastAsia" w:ascii="仿宋_GB2312" w:eastAsia="仿宋_GB2312"/>
          <w:sz w:val="32"/>
          <w:szCs w:val="32"/>
        </w:rPr>
        <w:t>县特殊教育学校对全县193余名重度残疾儿童实行送教上门，以激发教育潜能，提高认知能力和社会适应能力为宗旨，为学生送知识送康复送经验。县教育局和县有关部门积极对接，完善送教档案。保障了全县三类残疾儿童接受义务教育的权利，进一步促进了教育公平。</w:t>
      </w:r>
    </w:p>
    <w:p w14:paraId="76DE4E61">
      <w:pPr>
        <w:pStyle w:val="9"/>
        <w:widowControl/>
        <w:spacing w:beforeAutospacing="0" w:afterAutospacing="0" w:line="560" w:lineRule="exact"/>
        <w:ind w:firstLine="630"/>
        <w:rPr>
          <w:rFonts w:hint="eastAsia" w:ascii="楷体_GB2312" w:eastAsia="楷体_GB2312"/>
          <w:sz w:val="32"/>
          <w:szCs w:val="32"/>
        </w:rPr>
      </w:pPr>
      <w:r>
        <w:rPr>
          <w:rFonts w:hint="eastAsia" w:ascii="楷体_GB2312" w:eastAsia="楷体_GB2312"/>
          <w:sz w:val="32"/>
          <w:szCs w:val="32"/>
        </w:rPr>
        <w:t>（二）立德树人全面发展</w:t>
      </w:r>
    </w:p>
    <w:p w14:paraId="4D82CCDC">
      <w:pPr>
        <w:spacing w:line="520" w:lineRule="exact"/>
        <w:ind w:firstLine="643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b/>
          <w:sz w:val="32"/>
          <w:szCs w:val="32"/>
        </w:rPr>
        <w:t>1.</w:t>
      </w:r>
      <w:r>
        <w:rPr>
          <w:rFonts w:hint="eastAsia" w:ascii="仿宋_GB2312" w:hAnsi="Times New Roman" w:eastAsia="仿宋_GB2312" w:cs="Times New Roman"/>
          <w:b/>
          <w:sz w:val="32"/>
          <w:szCs w:val="32"/>
        </w:rPr>
        <w:t>持续推进德育教育</w:t>
      </w:r>
      <w:r>
        <w:rPr>
          <w:rFonts w:hint="eastAsia" w:ascii="仿宋_GB2312" w:eastAsia="仿宋_GB2312"/>
          <w:b/>
          <w:sz w:val="32"/>
          <w:szCs w:val="32"/>
        </w:rPr>
        <w:t>。</w:t>
      </w:r>
      <w:r>
        <w:rPr>
          <w:rFonts w:hint="eastAsia" w:ascii="仿宋" w:hAnsi="仿宋" w:eastAsia="仿宋" w:cs="仿宋"/>
          <w:sz w:val="32"/>
        </w:rPr>
        <w:t>印发《内黄县教育局关于进一步做好中小学德育工作的意见》，认真落实立德树人根本任务，广泛开展好各类教育实践活动，全面加强学生爱国主义教育、理想信念教育、道德教育和劳动教育。县教育局联合宣传部开展了中华经典诵读，积极推荐参加省市读书活动，激发广大中小学生爱国热情和读书热情。县教育局获得全市爱国主义读书教育活动特等组织奖。</w:t>
      </w:r>
    </w:p>
    <w:p w14:paraId="148AF7DF">
      <w:pPr>
        <w:pStyle w:val="5"/>
        <w:spacing w:after="0" w:line="520" w:lineRule="exact"/>
        <w:ind w:left="0" w:leftChars="0" w:firstLine="643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eastAsia="仿宋_GB2312"/>
          <w:b/>
          <w:sz w:val="32"/>
          <w:szCs w:val="32"/>
        </w:rPr>
        <w:t>2.加强班主任工作。</w:t>
      </w:r>
      <w:r>
        <w:rPr>
          <w:rFonts w:hint="eastAsia" w:ascii="仿宋_GB2312" w:eastAsia="仿宋_GB2312"/>
          <w:sz w:val="32"/>
        </w:rPr>
        <w:t>一是开展中小学班主任基本功大赛。来自全县22名中小学班主任围绕育人故事、带班方略、主题班会、案例答辩、才艺特长5项内容进行角逐。比赛现场气氛热烈，精彩纷呈。这次班主任基本功大赛既是对班主任五项全能的大练兵，也是检验我县班主任整体水平的重要举措，还是落实“三支队伍”建设的具体体现。并从中选拔出小学组、中学组各2名优秀选手，参加安阳市第七届中小学班主任基本功大赛。组织3名班主任参加安阳市首届特殊教育班主任基本功大赛，其中，1人获得融合组一等奖、2人获得培智组二等奖。</w:t>
      </w:r>
      <w:r>
        <w:rPr>
          <w:rFonts w:ascii="仿宋_GB2312" w:eastAsia="仿宋_GB2312"/>
          <w:sz w:val="32"/>
        </w:rPr>
        <w:t>二是加强班级管理。县教育局组织编写《内黄县中小学生管理手册》，</w:t>
      </w:r>
      <w:r>
        <w:rPr>
          <w:rFonts w:hint="eastAsia" w:ascii="仿宋_GB2312" w:eastAsia="仿宋_GB2312"/>
          <w:sz w:val="32"/>
        </w:rPr>
        <w:t>全县</w:t>
      </w:r>
      <w:r>
        <w:rPr>
          <w:rFonts w:ascii="仿宋_GB2312" w:eastAsia="仿宋_GB2312"/>
          <w:sz w:val="32"/>
        </w:rPr>
        <w:t>中小学班主任人手一册，各学校组织</w:t>
      </w:r>
      <w:r>
        <w:rPr>
          <w:rFonts w:hint="eastAsia" w:ascii="仿宋_GB2312" w:eastAsia="仿宋_GB2312"/>
          <w:sz w:val="32"/>
        </w:rPr>
        <w:t xml:space="preserve"> 班主任认真学习该手册，指导班主任做好班级管理工作。</w:t>
      </w:r>
    </w:p>
    <w:p w14:paraId="4814976E">
      <w:pPr>
        <w:spacing w:line="560" w:lineRule="exact"/>
        <w:ind w:firstLine="640" w:firstLineChars="200"/>
        <w:rPr>
          <w:rFonts w:ascii="仿宋_GB2312" w:hAnsi="仿宋_GB2312" w:eastAsia="仿宋_GB2312" w:cs="仿宋_GB2312"/>
          <w:b/>
          <w:sz w:val="32"/>
          <w:szCs w:val="32"/>
        </w:rPr>
      </w:pPr>
      <w:r>
        <w:rPr>
          <w:rFonts w:hint="eastAsia" w:ascii="楷体_GB2312" w:eastAsia="楷体_GB2312"/>
          <w:sz w:val="32"/>
          <w:szCs w:val="32"/>
        </w:rPr>
        <w:t>（三）全面贯彻落实“双减”政策。</w:t>
      </w:r>
    </w:p>
    <w:p w14:paraId="3407124C">
      <w:pPr>
        <w:spacing w:line="520" w:lineRule="exact"/>
        <w:ind w:firstLine="643" w:firstLineChars="200"/>
        <w:rPr>
          <w:rFonts w:ascii="仿宋_GB2312" w:hAnsi="仿宋_GB2312" w:eastAsia="仿宋_GB2312"/>
          <w:sz w:val="32"/>
        </w:rPr>
      </w:pPr>
      <w:r>
        <w:rPr>
          <w:rFonts w:hint="eastAsia" w:ascii="仿宋_GB2312" w:hAnsi="仿宋_GB2312" w:eastAsia="仿宋_GB2312"/>
          <w:b/>
          <w:sz w:val="32"/>
        </w:rPr>
        <w:t>1.持续加强校内作业减负。</w:t>
      </w:r>
      <w:r>
        <w:rPr>
          <w:rFonts w:hint="eastAsia" w:ascii="仿宋_GB2312" w:hAnsi="仿宋_GB2312" w:eastAsia="仿宋_GB2312"/>
          <w:sz w:val="32"/>
        </w:rPr>
        <w:t>一是召开专题会议。进一步学习领会相关政策要求，加压推进“双减”政策落实。二是开展规范教育教学管理专项行动，认真贯彻落实《河南省教育厅教育教学管理十项规定》，印发《内黄县教育局关于进一步规范办学行为的通知》，严格规范作业管理、作息时间、课程开设等。三是开展教学辅助材料征订专项治理，印发专项整治工作实施方案，建立工作台账，开展集中治理。目前已完成自查自纠工作，对分析问题及时整改到位。多轮次开展督导检查，严查学校、教师乱定教辅情况。</w:t>
      </w:r>
    </w:p>
    <w:p w14:paraId="0D481A63">
      <w:pPr>
        <w:spacing w:line="520" w:lineRule="exact"/>
        <w:ind w:firstLine="643" w:firstLineChars="200"/>
        <w:rPr>
          <w:rFonts w:ascii="仿宋_GB2312" w:hAnsi="仿宋_GB2312" w:eastAsia="仿宋_GB2312"/>
          <w:sz w:val="32"/>
        </w:rPr>
      </w:pPr>
      <w:r>
        <w:rPr>
          <w:rFonts w:hint="eastAsia" w:ascii="仿宋_GB2312" w:eastAsia="仿宋_GB2312"/>
          <w:b/>
          <w:sz w:val="32"/>
        </w:rPr>
        <w:t>2.继续开展校外培训机构治理工作。</w:t>
      </w:r>
      <w:r>
        <w:rPr>
          <w:rFonts w:hint="eastAsia" w:ascii="仿宋_GB2312" w:hAnsi="仿宋_GB2312" w:eastAsia="仿宋_GB2312"/>
          <w:sz w:val="32"/>
        </w:rPr>
        <w:t>一是广泛宣传，知晓政策。在寒暑假、五一、国庆等节假日，县教育局印发《致中小学生家长的一封信》，通过教育局公众号发布。同时，各学校通过班级微信群、学校公众号、印发纸质版等形式，引导家长理性选择校外培训，不参加违规学科类培训。县教育局、文广体旅局、科技局公布举报电话，接收群众监督，形成了全社会共同参与治理的良好氛围。二是联合检查，加强监管。在寒假、清明、五一、端午等节假日，县教育局联合科技、文广体旅等“双减”办成员单位对辖区内校外培训机构进行联合检查，严查隐形变异学科类培训、收费监管、安全隐患排查整改等问题。联合市场监管部门开展涉高考培训机构抽查，组织各乡校深入校外培训机构宣传《校外培训机构涉高考培训行为负面清单》，进一步规范校外培训行为。联合文广体旅、科技、市场监管、消防等部门开展校外培训治理提升专项行动，参考《安阳市校外培训机构联合检查记录表》，围绕党建引领、培训教材、从业人员、双减政策、安全管理等方面实地开展督导检查，建立“一机构一清单”问题台账，并由监管单位跟踪整改情况。三是加强巡查，常态治理。县教育局持续加大周末、寒假和五一等节假日巡查力度，重点巡查非学科类校外培训机构是否存在违规学科类培训情况。</w:t>
      </w:r>
    </w:p>
    <w:p w14:paraId="62791549">
      <w:pPr>
        <w:pStyle w:val="5"/>
        <w:spacing w:after="0" w:line="520" w:lineRule="exact"/>
        <w:ind w:left="0" w:leftChars="0" w:firstLine="640" w:firstLineChars="200"/>
        <w:rPr>
          <w:rFonts w:ascii="楷体_GB2312" w:eastAsia="楷体_GB2312"/>
          <w:sz w:val="32"/>
        </w:rPr>
      </w:pPr>
      <w:r>
        <w:rPr>
          <w:rFonts w:hint="eastAsia" w:ascii="楷体_GB2312" w:eastAsia="楷体_GB2312"/>
          <w:sz w:val="32"/>
        </w:rPr>
        <w:t>（四）纵深推进集团化办学工作</w:t>
      </w:r>
    </w:p>
    <w:p w14:paraId="5DE759AE">
      <w:pPr>
        <w:pStyle w:val="5"/>
        <w:spacing w:after="0" w:line="520" w:lineRule="exact"/>
        <w:ind w:left="0" w:leftChars="0" w:firstLine="643" w:firstLineChars="200"/>
        <w:rPr>
          <w:rFonts w:ascii="仿宋_GB2312" w:hAnsi="仿宋_GB2312" w:eastAsia="仿宋_GB2312" w:cstheme="minorBidi"/>
          <w:sz w:val="32"/>
        </w:rPr>
      </w:pPr>
      <w:r>
        <w:rPr>
          <w:rFonts w:hint="eastAsia" w:ascii="仿宋_GB2312" w:eastAsia="仿宋_GB2312" w:hAnsiTheme="minorHAnsi" w:cstheme="minorBidi"/>
          <w:b/>
          <w:sz w:val="32"/>
        </w:rPr>
        <w:t>1.完善机制。</w:t>
      </w:r>
      <w:r>
        <w:rPr>
          <w:rFonts w:hint="eastAsia" w:ascii="仿宋_GB2312" w:hAnsi="仿宋_GB2312" w:eastAsia="仿宋_GB2312" w:cstheme="minorBidi"/>
          <w:sz w:val="32"/>
        </w:rPr>
        <w:t>印发《内黄县教育局关于深入推进全县集团化办学工作的通知》等文件，建立“县级统筹、集团联动、多元协同”的工作机制。全县29个教育集团均制定了五年规划和年度工作台账，明确各项工作任务。</w:t>
      </w:r>
    </w:p>
    <w:p w14:paraId="2558282F">
      <w:pPr>
        <w:pStyle w:val="5"/>
        <w:spacing w:after="0" w:line="520" w:lineRule="exact"/>
        <w:ind w:left="0" w:leftChars="0" w:firstLine="643" w:firstLineChars="200"/>
        <w:rPr>
          <w:rFonts w:ascii="仿宋_GB2312" w:hAnsi="仿宋_GB2312" w:eastAsia="仿宋_GB2312" w:cstheme="minorBidi"/>
          <w:sz w:val="32"/>
        </w:rPr>
      </w:pPr>
      <w:r>
        <w:rPr>
          <w:rFonts w:hint="eastAsia" w:ascii="仿宋_GB2312" w:eastAsia="仿宋_GB2312" w:hAnsiTheme="minorHAnsi" w:cstheme="minorBidi"/>
          <w:b/>
          <w:sz w:val="32"/>
        </w:rPr>
        <w:t>2.扩大覆盖面。</w:t>
      </w:r>
      <w:r>
        <w:rPr>
          <w:rFonts w:hint="eastAsia" w:ascii="仿宋_GB2312" w:hAnsi="仿宋_GB2312" w:eastAsia="仿宋_GB2312" w:cstheme="minorBidi"/>
          <w:sz w:val="32"/>
        </w:rPr>
        <w:t>2024年全县11个教育集团，集团学校30所；2025年，全县29个教育集团，集团学校114所，占全县义务教育阶段学校的62.6%。</w:t>
      </w:r>
    </w:p>
    <w:p w14:paraId="6C817A21">
      <w:pPr>
        <w:pStyle w:val="5"/>
        <w:spacing w:after="0" w:line="520" w:lineRule="exact"/>
        <w:ind w:left="0" w:leftChars="0" w:firstLine="643" w:firstLineChars="200"/>
        <w:rPr>
          <w:rFonts w:ascii="仿宋_GB2312" w:hAnsi="仿宋_GB2312" w:eastAsia="仿宋_GB2312" w:cstheme="minorBidi"/>
          <w:sz w:val="32"/>
        </w:rPr>
      </w:pPr>
      <w:r>
        <w:rPr>
          <w:rFonts w:hint="eastAsia" w:ascii="仿宋_GB2312" w:eastAsia="仿宋_GB2312" w:hAnsiTheme="minorHAnsi" w:cstheme="minorBidi"/>
          <w:b/>
          <w:sz w:val="32"/>
        </w:rPr>
        <w:t>3.强化交流。</w:t>
      </w:r>
      <w:r>
        <w:rPr>
          <w:rFonts w:hint="eastAsia" w:ascii="仿宋_GB2312" w:hAnsi="仿宋_GB2312" w:eastAsia="仿宋_GB2312" w:cstheme="minorBidi"/>
          <w:sz w:val="32"/>
        </w:rPr>
        <w:t>县教育局召开专题会、经验交流会、现场推进会等5次，组织教育集团校长到外地学习先进经验2次。同时，各教育集团按照工作台账扎实推进工作，从党建引领、学校管理、教师发展和学生发展等方面，创新帮扶措施，组织开展各类交流帮扶活动，成效显著。县实验中学教育集团已被评选为省第四批义务教育集团优秀案例。</w:t>
      </w:r>
    </w:p>
    <w:p w14:paraId="6C629415">
      <w:pPr>
        <w:pStyle w:val="5"/>
        <w:spacing w:after="0" w:line="560" w:lineRule="exact"/>
        <w:ind w:left="0" w:leftChars="0" w:firstLine="640" w:firstLineChars="200"/>
        <w:contextualSpacing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二、推动普通高中多样化发展</w:t>
      </w:r>
    </w:p>
    <w:p w14:paraId="36E4E50B">
      <w:pPr>
        <w:pStyle w:val="5"/>
        <w:spacing w:after="0" w:line="560" w:lineRule="exact"/>
        <w:ind w:left="0" w:leftChars="0" w:firstLine="640" w:firstLineChars="200"/>
        <w:contextualSpacing/>
        <w:rPr>
          <w:rFonts w:ascii="仿宋_GB2312" w:hAnsi="仿宋_GB2312" w:eastAsia="仿宋_GB2312" w:cstheme="minorBidi"/>
          <w:color w:val="000000" w:themeColor="text1"/>
          <w:sz w:val="32"/>
          <w14:textFill>
            <w14:solidFill>
              <w14:schemeClr w14:val="tx1"/>
            </w14:solidFill>
          </w14:textFill>
        </w:rPr>
      </w:pPr>
      <w:r>
        <w:rPr>
          <w:rFonts w:hint="eastAsia" w:ascii="楷体" w:hAnsi="楷体" w:eastAsia="楷体" w:cs="楷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（一）积极推进高中综合改革。</w:t>
      </w:r>
      <w:r>
        <w:rPr>
          <w:rFonts w:hint="eastAsia" w:ascii="仿宋_GB2312" w:hAnsi="仿宋_GB2312" w:eastAsia="仿宋_GB2312" w:cstheme="minorBidi"/>
          <w:color w:val="000000" w:themeColor="text1"/>
          <w:sz w:val="32"/>
          <w14:textFill>
            <w14:solidFill>
              <w14:schemeClr w14:val="tx1"/>
            </w14:solidFill>
          </w14:textFill>
        </w:rPr>
        <w:t>积极推进办考条件改善，目前，全县共有标准化考场560个，全高清摄像头标准化考点数7个。人脸识别身份验证终端设备数260个，5G屏蔽设备数270个，基本满足组织国家教育统一考试的需要。各普通高中结合学校师资情况，积极探索有利于学生获得最优发展、同时也能充分且有效利用学校现有师资的选课走班方式。</w:t>
      </w:r>
    </w:p>
    <w:p w14:paraId="0610B579">
      <w:pPr>
        <w:pStyle w:val="5"/>
        <w:spacing w:after="0" w:line="560" w:lineRule="exact"/>
        <w:ind w:left="0" w:leftChars="0" w:firstLine="640" w:firstLineChars="200"/>
        <w:contextualSpacing/>
        <w:rPr>
          <w:rFonts w:ascii="仿宋_GB2312" w:hAnsi="仿宋_GB2312" w:eastAsia="仿宋_GB2312" w:cstheme="minorBidi"/>
          <w:color w:val="000000" w:themeColor="text1"/>
          <w:sz w:val="32"/>
          <w14:textFill>
            <w14:solidFill>
              <w14:schemeClr w14:val="tx1"/>
            </w14:solidFill>
          </w14:textFill>
        </w:rPr>
      </w:pPr>
      <w:r>
        <w:rPr>
          <w:rFonts w:hint="eastAsia" w:ascii="楷体" w:hAnsi="楷体" w:eastAsia="楷体" w:cs="楷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（二）持续开展县中帮扶活动。</w:t>
      </w:r>
      <w:r>
        <w:rPr>
          <w:rFonts w:hint="eastAsia" w:ascii="仿宋_GB2312" w:hAnsi="仿宋_GB2312" w:eastAsia="仿宋_GB2312" w:cstheme="minorBidi"/>
          <w:color w:val="000000" w:themeColor="text1"/>
          <w:sz w:val="32"/>
          <w14:textFill>
            <w14:solidFill>
              <w14:schemeClr w14:val="tx1"/>
            </w14:solidFill>
          </w14:textFill>
        </w:rPr>
        <w:t>内黄县一中帮扶县四中、林州市一中帮扶县二中。围绕学校办学理念、管理模式、教学研修、教学评价、高考升学等方面进行帮扶，被帮扶学校从学校管理水平和教学质量均有大幅度提升。</w:t>
      </w:r>
    </w:p>
    <w:p w14:paraId="12BF7E0B">
      <w:pPr>
        <w:pStyle w:val="5"/>
        <w:spacing w:after="0" w:line="560" w:lineRule="exact"/>
        <w:ind w:left="0" w:leftChars="0" w:firstLine="640" w:firstLineChars="200"/>
        <w:contextualSpacing/>
        <w:rPr>
          <w:rFonts w:ascii="仿宋_GB2312" w:hAnsi="仿宋_GB2312" w:eastAsia="仿宋_GB2312" w:cstheme="minorBidi"/>
          <w:sz w:val="32"/>
        </w:rPr>
      </w:pPr>
      <w:r>
        <w:rPr>
          <w:rFonts w:hint="eastAsia" w:ascii="楷体" w:hAnsi="楷体" w:eastAsia="楷体" w:cs="楷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（三）普通高中教育质量显著提升。</w:t>
      </w:r>
      <w:r>
        <w:rPr>
          <w:rFonts w:hint="eastAsia" w:ascii="仿宋_GB2312" w:hAnsi="仿宋_GB2312" w:eastAsia="仿宋_GB2312" w:cstheme="minorBidi"/>
          <w:color w:val="000000" w:themeColor="text1"/>
          <w:sz w:val="32"/>
          <w14:textFill>
            <w14:solidFill>
              <w14:schemeClr w14:val="tx1"/>
            </w14:solidFill>
          </w14:textFill>
        </w:rPr>
        <w:t>普通高中教育质量显著。985、211院校录</w:t>
      </w:r>
      <w:r>
        <w:rPr>
          <w:rFonts w:hint="eastAsia" w:ascii="仿宋_GB2312" w:hAnsi="仿宋_GB2312" w:eastAsia="仿宋_GB2312" w:cstheme="minorBidi"/>
          <w:sz w:val="32"/>
        </w:rPr>
        <w:t>取585人，一中清华、北大录取6人，复旦大学4人，上海交通大学6人，浙江大学8人，中国科技大学2人，中国人民大学2人，北京航空航天大学2人，哈尔滨工业大学7人，西安交通大学5人，国防科技大学6人，北京理工大学3人，华中科技大学5人，西北工业大学3人，香港科技大学2人，空军航空大学(飞行员)2人，南方科技大学2人。四中录取（音乐类专业）：厦门大学2人和华南理工2人，其他艺体录取本科院校490多人。二中录取艺术类：郑州大学1人，普通类：一本录取3人，其他，艺体本科院校录取90多人。</w:t>
      </w:r>
    </w:p>
    <w:p w14:paraId="0AA6B57E">
      <w:pPr>
        <w:pStyle w:val="5"/>
        <w:spacing w:after="0" w:line="560" w:lineRule="exact"/>
        <w:ind w:left="0" w:leftChars="0" w:firstLine="640" w:firstLineChars="200"/>
        <w:contextualSpacing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三、积极发展特殊教育</w:t>
      </w:r>
    </w:p>
    <w:p w14:paraId="5E07F002">
      <w:pPr>
        <w:spacing w:line="520" w:lineRule="exact"/>
        <w:ind w:firstLine="640" w:firstLineChars="200"/>
        <w:rPr>
          <w:rFonts w:hint="eastAsia" w:ascii="仿宋_GB2312" w:eastAsia="仿宋_GB2312"/>
          <w:sz w:val="32"/>
        </w:rPr>
      </w:pPr>
      <w:r>
        <w:rPr>
          <w:rFonts w:hint="eastAsia" w:ascii="楷体_GB2312" w:hAnsi="Times New Roman" w:eastAsia="楷体_GB2312" w:cs="Times New Roman"/>
          <w:sz w:val="32"/>
        </w:rPr>
        <w:t>（一）特殊教育学校加强内涵提升，积极探索课程开发。</w:t>
      </w:r>
      <w:r>
        <w:rPr>
          <w:rFonts w:hint="eastAsia" w:ascii="仿宋_GB2312" w:eastAsia="仿宋_GB2312"/>
          <w:sz w:val="32"/>
        </w:rPr>
        <w:t>初步形成“1+3”课程体系（德育+国家基本课程、校本特色课程、生本康复课程），开展多元化评价，让特殊学生适宜适性发展。</w:t>
      </w:r>
    </w:p>
    <w:p w14:paraId="7AD6771F">
      <w:pPr>
        <w:spacing w:line="520" w:lineRule="exact"/>
        <w:ind w:firstLine="640" w:firstLineChars="200"/>
        <w:rPr>
          <w:rFonts w:hint="eastAsia" w:ascii="仿宋_GB2312" w:eastAsia="仿宋_GB2312"/>
          <w:sz w:val="32"/>
        </w:rPr>
      </w:pPr>
      <w:r>
        <w:rPr>
          <w:rFonts w:hint="eastAsia" w:ascii="楷体_GB2312" w:hAnsi="Times New Roman" w:eastAsia="楷体_GB2312" w:cs="Times New Roman"/>
          <w:sz w:val="32"/>
        </w:rPr>
        <w:t>（二）积极开展送教上门工作。</w:t>
      </w:r>
      <w:r>
        <w:rPr>
          <w:rFonts w:hint="eastAsia" w:ascii="仿宋_GB2312" w:eastAsia="仿宋_GB2312"/>
          <w:sz w:val="32"/>
        </w:rPr>
        <w:t>上半年为239名重度残疾学生提供送教，下半年为193名重度残疾学生送教上门。县特殊教育学校组建专业的送教团队，依据学生个体情况制定个性化教学方案，每月每生2次送教。</w:t>
      </w:r>
    </w:p>
    <w:p w14:paraId="5636270C">
      <w:pPr>
        <w:spacing w:line="520" w:lineRule="exact"/>
        <w:ind w:firstLine="640" w:firstLineChars="200"/>
        <w:rPr>
          <w:rFonts w:hint="eastAsia" w:ascii="仿宋_GB2312" w:eastAsia="仿宋_GB2312"/>
          <w:sz w:val="32"/>
        </w:rPr>
      </w:pPr>
      <w:r>
        <w:rPr>
          <w:rFonts w:hint="eastAsia" w:ascii="楷体_GB2312" w:hAnsi="Times New Roman" w:eastAsia="楷体_GB2312" w:cs="Times New Roman"/>
          <w:sz w:val="32"/>
        </w:rPr>
        <w:t>（三）积极推进融合教育。</w:t>
      </w:r>
      <w:r>
        <w:rPr>
          <w:rFonts w:hint="eastAsia" w:ascii="仿宋_GB2312" w:eastAsia="仿宋_GB2312"/>
          <w:sz w:val="32"/>
        </w:rPr>
        <w:t>积极推进融合教育发展，县教育局召开了融合教育云平台建设专题会，全县17个中心校和融合校学校专干参会；及时完成110所融合学校、189个随班就读残疾学生信息采集及融合教育云平台数据上传，每学期，县特殊学校和各融合学校对学生信息和相关材料进行了完善。资源中心云平台的建设，为我县融合教育高质量发展注入了新动能。</w:t>
      </w:r>
    </w:p>
    <w:p w14:paraId="629598F1">
      <w:pPr>
        <w:pStyle w:val="5"/>
        <w:spacing w:after="0" w:line="560" w:lineRule="exact"/>
        <w:ind w:left="0" w:leftChars="0" w:firstLine="640" w:firstLineChars="200"/>
        <w:rPr>
          <w:rStyle w:val="13"/>
          <w:rFonts w:ascii="仿宋_GB2312" w:hAnsi="黑体" w:eastAsia="仿宋_GB2312" w:cs="黑体"/>
          <w:b w:val="0"/>
          <w:bCs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</w:pPr>
      <w:r>
        <w:rPr>
          <w:rFonts w:hint="eastAsia" w:ascii="楷体_GB2312" w:eastAsia="楷体_GB2312"/>
          <w:sz w:val="32"/>
        </w:rPr>
        <w:t>（四）积极参加省市级评比活动。</w:t>
      </w:r>
      <w:r>
        <w:rPr>
          <w:rFonts w:hint="eastAsia" w:ascii="仿宋_GB2312" w:eastAsia="仿宋_GB2312"/>
          <w:sz w:val="32"/>
        </w:rPr>
        <w:t>在今年的安阳市特殊教育班主任基本功大赛中，1人获得融合组一等奖、2人获得培智组二等奖；县教育局和县特殊教育学校入选河南省级特殊教育优秀案例，县特殊教育学校获评河南省特殊教育内涵建设实验校。</w:t>
      </w:r>
    </w:p>
    <w:p w14:paraId="570DF3A2">
      <w:pPr>
        <w:pStyle w:val="5"/>
        <w:spacing w:after="0" w:line="560" w:lineRule="exact"/>
        <w:ind w:left="0" w:leftChars="0" w:firstLine="640" w:firstLineChars="200"/>
        <w:contextualSpacing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四、规范民办中小学教育</w:t>
      </w:r>
    </w:p>
    <w:p w14:paraId="12763DB4">
      <w:pPr>
        <w:spacing w:line="520" w:lineRule="exact"/>
        <w:ind w:firstLine="640" w:firstLineChars="200"/>
        <w:rPr>
          <w:rFonts w:hint="eastAsia" w:ascii="仿宋_GB2312" w:eastAsia="仿宋_GB2312"/>
          <w:sz w:val="32"/>
        </w:rPr>
      </w:pPr>
      <w:r>
        <w:rPr>
          <w:rFonts w:hint="eastAsia" w:ascii="楷体_GB2312" w:hAnsi="Times New Roman" w:eastAsia="楷体_GB2312" w:cs="Times New Roman"/>
          <w:sz w:val="32"/>
        </w:rPr>
        <w:t>（一）开展民办学校年检工作。</w:t>
      </w:r>
      <w:r>
        <w:rPr>
          <w:rFonts w:hint="eastAsia" w:ascii="仿宋_GB2312" w:eastAsia="仿宋_GB2312"/>
          <w:sz w:val="32"/>
        </w:rPr>
        <w:t>对全县25所民办学校开展2024年度年检工作，印发年检结果文件，公布年检结果，经年检合格民办学校21所，限期整改1所，停办3所。</w:t>
      </w:r>
    </w:p>
    <w:p w14:paraId="0AC148FA">
      <w:pPr>
        <w:spacing w:line="520" w:lineRule="exact"/>
        <w:ind w:firstLine="640" w:firstLineChars="200"/>
        <w:rPr>
          <w:rFonts w:hint="eastAsia" w:ascii="仿宋_GB2312" w:eastAsia="仿宋_GB2312"/>
          <w:sz w:val="32"/>
        </w:rPr>
      </w:pPr>
      <w:r>
        <w:rPr>
          <w:rFonts w:hint="eastAsia" w:ascii="楷体_GB2312" w:hAnsi="Times New Roman" w:eastAsia="楷体_GB2312" w:cs="Times New Roman"/>
          <w:sz w:val="32"/>
        </w:rPr>
        <w:t>（二）规范民办学校管理。</w:t>
      </w:r>
      <w:r>
        <w:rPr>
          <w:rFonts w:hint="eastAsia" w:ascii="仿宋_GB2312" w:eastAsia="仿宋_GB2312"/>
          <w:sz w:val="32"/>
        </w:rPr>
        <w:t>春季开学后召开规范民办学校办学行为专题会议，印发了《加强全县民办学校管理的评价办法》，对最新的民办学校年检指标进行解读培训。开展了民办学校办学行为过程性督导工作。</w:t>
      </w:r>
    </w:p>
    <w:p w14:paraId="27A1C3A5">
      <w:pPr>
        <w:spacing w:line="520" w:lineRule="exact"/>
        <w:ind w:firstLine="640" w:firstLineChars="200"/>
        <w:rPr>
          <w:rFonts w:hint="eastAsia" w:ascii="仿宋_GB2312" w:eastAsia="仿宋_GB2312"/>
          <w:sz w:val="32"/>
        </w:rPr>
      </w:pPr>
      <w:r>
        <w:rPr>
          <w:rFonts w:hint="eastAsia" w:ascii="楷体_GB2312" w:hAnsi="Times New Roman" w:eastAsia="楷体_GB2312" w:cs="Times New Roman"/>
          <w:sz w:val="32"/>
        </w:rPr>
        <w:t>（三）</w:t>
      </w:r>
      <w:r>
        <w:rPr>
          <w:rFonts w:hint="eastAsia" w:ascii="楷体" w:hAnsi="楷体" w:eastAsia="楷体" w:cs="楷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规范民办义务教育占比。</w:t>
      </w:r>
      <w:r>
        <w:rPr>
          <w:rFonts w:hint="eastAsia" w:ascii="仿宋_GB2312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按照民办义务教育占比不超5%的要求，核定2025年秋民办义务教育学校招生计划400人。对于民办学校在校生占比超出部分，采取政府购买学位方式确保占比达标，2025年</w:t>
      </w:r>
      <w:r>
        <w:rPr>
          <w:rFonts w:hint="eastAsia" w:ascii="仿宋_GB2312" w:eastAsia="仿宋_GB2312"/>
          <w:color w:val="000000" w:themeColor="text1"/>
          <w:sz w:val="32"/>
          <w14:textFill>
            <w14:solidFill>
              <w14:schemeClr w14:val="tx1"/>
            </w14:solidFill>
          </w14:textFill>
        </w:rPr>
        <w:t>春季学期，</w:t>
      </w:r>
      <w:r>
        <w:rPr>
          <w:rFonts w:hint="eastAsia" w:ascii="仿宋_GB2312" w:eastAsia="仿宋_GB2312"/>
          <w:sz w:val="32"/>
        </w:rPr>
        <w:t>政府购买学位7630人，购买学位资金289.7万元；2025年秋季学期，</w:t>
      </w:r>
      <w:r>
        <w:rPr>
          <w:rFonts w:hint="eastAsia" w:ascii="仿宋_GB2312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政府购买学位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9697</w:t>
      </w:r>
      <w:r>
        <w:rPr>
          <w:rFonts w:hint="eastAsia" w:ascii="仿宋_GB2312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人，购买学位资金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353.925万</w:t>
      </w:r>
      <w:r>
        <w:rPr>
          <w:rFonts w:hint="eastAsia" w:ascii="仿宋_GB2312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元。</w:t>
      </w:r>
    </w:p>
    <w:p w14:paraId="5C2E9C4E">
      <w:pPr>
        <w:spacing w:line="520" w:lineRule="exact"/>
        <w:ind w:firstLine="640" w:firstLineChars="200"/>
        <w:rPr>
          <w:rFonts w:hint="eastAsia" w:ascii="仿宋_GB2312" w:eastAsia="仿宋_GB2312"/>
          <w:sz w:val="32"/>
        </w:rPr>
      </w:pPr>
      <w:r>
        <w:rPr>
          <w:rFonts w:hint="eastAsia" w:ascii="楷体_GB2312" w:hAnsi="Times New Roman" w:eastAsia="楷体_GB2312" w:cs="Times New Roman"/>
          <w:sz w:val="32"/>
        </w:rPr>
        <w:t>（四）规范网上民办学校资金监管。</w:t>
      </w:r>
      <w:r>
        <w:rPr>
          <w:rFonts w:hint="eastAsia" w:ascii="仿宋_GB2312" w:eastAsia="仿宋_GB2312"/>
          <w:sz w:val="32"/>
        </w:rPr>
        <w:t>全县民办学校由线下审批更改为线上网上审批机制，开展民办学校线上资金监管培训，秋季后开始实行线上资金审批流程。</w:t>
      </w:r>
    </w:p>
    <w:p w14:paraId="16394FF2">
      <w:pPr>
        <w:pStyle w:val="5"/>
        <w:spacing w:after="0" w:line="560" w:lineRule="exact"/>
        <w:ind w:left="0" w:leftChars="0" w:firstLine="640" w:firstLineChars="200"/>
        <w:contextualSpacing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五、加强心理健康教育</w:t>
      </w:r>
    </w:p>
    <w:p w14:paraId="1F709467">
      <w:pPr>
        <w:pStyle w:val="5"/>
        <w:spacing w:after="0" w:line="520" w:lineRule="exact"/>
        <w:ind w:left="0" w:leftChars="0" w:firstLine="640" w:firstLineChars="200"/>
        <w:rPr>
          <w:rFonts w:ascii="仿宋_GB2312" w:eastAsia="仿宋_GB2312"/>
          <w:sz w:val="32"/>
        </w:rPr>
      </w:pPr>
      <w:r>
        <w:rPr>
          <w:rFonts w:hint="eastAsia" w:ascii="楷体_GB2312" w:eastAsia="楷体_GB2312"/>
          <w:sz w:val="32"/>
        </w:rPr>
        <w:t>（一）做好开学前后的有关心理健康教育工作。</w:t>
      </w:r>
      <w:r>
        <w:rPr>
          <w:rFonts w:hint="eastAsia" w:ascii="仿宋_GB2312" w:eastAsia="仿宋_GB2312"/>
          <w:sz w:val="32"/>
        </w:rPr>
        <w:t>印发《关于做好2025年春季开学前后中小学生心理健康教育的工作提醒》，安排各学校在开学前两周内对“三个清单”学生和“五类重点关注对象”进行至少一次家访。</w:t>
      </w:r>
    </w:p>
    <w:p w14:paraId="486B2F2F">
      <w:pPr>
        <w:pStyle w:val="5"/>
        <w:spacing w:after="0" w:line="520" w:lineRule="exact"/>
        <w:ind w:left="0" w:leftChars="0" w:firstLine="640" w:firstLineChars="200"/>
        <w:rPr>
          <w:rFonts w:ascii="仿宋_GB2312" w:eastAsia="仿宋_GB2312"/>
          <w:sz w:val="32"/>
        </w:rPr>
      </w:pPr>
      <w:r>
        <w:rPr>
          <w:rFonts w:hint="eastAsia" w:ascii="楷体_GB2312" w:eastAsia="楷体_GB2312"/>
          <w:sz w:val="32"/>
        </w:rPr>
        <w:t>（二）中小学开展心理健康教育视导工作。</w:t>
      </w:r>
      <w:r>
        <w:rPr>
          <w:rFonts w:hint="eastAsia" w:ascii="仿宋_GB2312" w:eastAsia="仿宋_GB2312"/>
          <w:sz w:val="32"/>
        </w:rPr>
        <w:t>各学校建立视导问题台账，明确整改时限和责任人，实行销号管理。并撰写内黄县心理健康视导工作报告。省专家团队对县一中、县实验中学、县四实小等学校进行心理健康教育工作视导。</w:t>
      </w:r>
    </w:p>
    <w:p w14:paraId="46183F64">
      <w:pPr>
        <w:pStyle w:val="5"/>
        <w:spacing w:after="0" w:line="520" w:lineRule="exact"/>
        <w:ind w:left="0" w:leftChars="0" w:firstLine="640" w:firstLineChars="200"/>
        <w:rPr>
          <w:rFonts w:ascii="仿宋_GB2312" w:eastAsia="仿宋_GB2312"/>
          <w:sz w:val="32"/>
        </w:rPr>
      </w:pPr>
      <w:r>
        <w:rPr>
          <w:rFonts w:hint="eastAsia" w:ascii="楷体_GB2312" w:eastAsia="楷体_GB2312"/>
          <w:sz w:val="32"/>
        </w:rPr>
        <w:t>（三）分学段召开心理健康教育工作交流会。</w:t>
      </w:r>
      <w:r>
        <w:rPr>
          <w:rFonts w:hint="eastAsia" w:ascii="仿宋_GB2312" w:eastAsia="仿宋_GB2312"/>
          <w:sz w:val="32"/>
        </w:rPr>
        <w:t>今年春季学期，县教育局分别组织开展了高中、初中、小学的心理健康教育工作交流会。全县中小学校长和中心校长汇聚一堂，听评心理课，广开言路、集思广益，提升全县中小学心理健康教育的水平和智慧。为更好的开展心理健康工作奠定了坚实的基础。</w:t>
      </w:r>
    </w:p>
    <w:p w14:paraId="49BB42CC">
      <w:pPr>
        <w:spacing w:line="520" w:lineRule="exact"/>
        <w:ind w:firstLine="640" w:firstLineChars="200"/>
        <w:rPr>
          <w:rFonts w:hint="eastAsia" w:ascii="仿宋_GB2312" w:eastAsia="仿宋_GB2312"/>
          <w:sz w:val="32"/>
        </w:rPr>
      </w:pPr>
    </w:p>
    <w:p w14:paraId="5254F646">
      <w:pPr>
        <w:pStyle w:val="9"/>
        <w:widowControl/>
        <w:spacing w:beforeAutospacing="0" w:afterAutospacing="0" w:line="560" w:lineRule="exact"/>
        <w:ind w:firstLine="555"/>
        <w:rPr>
          <w:rFonts w:ascii="仿宋" w:hAnsi="仿宋" w:eastAsia="仿宋" w:cs="仿宋"/>
          <w:sz w:val="32"/>
          <w:szCs w:val="32"/>
        </w:rPr>
      </w:pPr>
    </w:p>
    <w:p w14:paraId="1A7428E2">
      <w:pPr>
        <w:pStyle w:val="9"/>
        <w:widowControl/>
        <w:spacing w:beforeAutospacing="0" w:afterAutospacing="0" w:line="560" w:lineRule="exact"/>
        <w:ind w:firstLine="555"/>
        <w:rPr>
          <w:rFonts w:ascii="仿宋" w:hAnsi="仿宋" w:eastAsia="仿宋" w:cs="仿宋"/>
          <w:sz w:val="32"/>
          <w:szCs w:val="32"/>
        </w:rPr>
      </w:pPr>
    </w:p>
    <w:p w14:paraId="5797F8D3">
      <w:pPr>
        <w:pStyle w:val="9"/>
        <w:widowControl/>
        <w:spacing w:beforeAutospacing="0" w:afterAutospacing="0" w:line="560" w:lineRule="exact"/>
        <w:ind w:firstLine="555"/>
        <w:rPr>
          <w:rFonts w:ascii="仿宋" w:hAnsi="仿宋" w:eastAsia="仿宋" w:cs="仿宋"/>
          <w:sz w:val="32"/>
          <w:szCs w:val="32"/>
        </w:rPr>
      </w:pPr>
    </w:p>
    <w:p w14:paraId="10EC3C36">
      <w:pPr>
        <w:pStyle w:val="9"/>
        <w:widowControl/>
        <w:spacing w:beforeAutospacing="0" w:afterAutospacing="0" w:line="560" w:lineRule="exact"/>
        <w:ind w:firstLine="4800" w:firstLineChars="1500"/>
        <w:rPr>
          <w:rFonts w:hint="eastAsia"/>
        </w:rPr>
      </w:pPr>
      <w:r>
        <w:rPr>
          <w:rFonts w:hint="eastAsia" w:ascii="仿宋_GB2312" w:hAnsi="仿宋" w:eastAsia="仿宋_GB2312" w:cs="仿宋"/>
          <w:sz w:val="32"/>
          <w:szCs w:val="32"/>
        </w:rPr>
        <w:t>2025年12月28日</w:t>
      </w:r>
    </w:p>
    <w:sectPr>
      <w:headerReference r:id="rId5" w:type="first"/>
      <w:footerReference r:id="rId8" w:type="first"/>
      <w:headerReference r:id="rId3" w:type="default"/>
      <w:footerReference r:id="rId6" w:type="default"/>
      <w:headerReference r:id="rId4" w:type="even"/>
      <w:footerReference r:id="rId7" w:type="even"/>
      <w:pgSz w:w="11906" w:h="16838"/>
      <w:pgMar w:top="1440" w:right="1418" w:bottom="1440" w:left="1588" w:header="851" w:footer="680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Segoe UI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Segoe UI">
    <w:panose1 w:val="020B0502040204020203"/>
    <w:charset w:val="00"/>
    <w:family w:val="auto"/>
    <w:pitch w:val="default"/>
    <w:sig w:usb0="E4002EFF" w:usb1="C000E47F" w:usb2="00000009" w:usb3="00000000" w:csb0="200001FF" w:csb1="00000000"/>
  </w:font>
  <w:font w:name="KSOF29153A75">
    <w:panose1 w:val="020B0502040204020203"/>
    <w:charset w:val="00"/>
    <w:family w:val="auto"/>
    <w:pitch w:val="default"/>
    <w:sig w:usb0="00000001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463935820"/>
    </w:sdtPr>
    <w:sdtContent>
      <w:p w14:paraId="2F0B2865">
        <w:pPr>
          <w:pStyle w:val="7"/>
          <w:jc w:val="center"/>
          <w:rPr>
            <w:rFonts w:hint="eastAsia"/>
          </w:rPr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rFonts w:hint="eastAsia"/>
            <w:lang w:val="zh-CN"/>
          </w:rPr>
          <w:t>7</w:t>
        </w:r>
        <w:r>
          <w:rPr>
            <w:lang w:val="zh-CN"/>
          </w:rPr>
          <w:fldChar w:fldCharType="end"/>
        </w:r>
      </w:p>
    </w:sdtContent>
  </w:sdt>
  <w:p w14:paraId="2068ECA1">
    <w:pPr>
      <w:pStyle w:val="7"/>
      <w:rPr>
        <w:rFonts w:hint="eastAsia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B4AACB6">
    <w:pPr>
      <w:pStyle w:val="7"/>
      <w:rPr>
        <w:rFonts w:hint="eastAsia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9E22045">
    <w:pPr>
      <w:pStyle w:val="7"/>
      <w:rPr>
        <w:rFonts w:hint="eastAsia"/>
      </w:rPr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8F8A9B1">
    <w:pPr>
      <w:pStyle w:val="8"/>
      <w:pBdr>
        <w:bottom w:val="none" w:color="auto" w:sz="0" w:space="0"/>
      </w:pBdr>
      <w:rPr>
        <w:rFonts w:hint="eastAsia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798F81B">
    <w:pPr>
      <w:pStyle w:val="8"/>
      <w:rPr>
        <w:rFonts w:hint="eastAsia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D008136">
    <w:pPr>
      <w:pStyle w:val="8"/>
      <w:rPr>
        <w:rFonts w:hint="eastAsia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2"/>
  <w:displayVerticalDrawingGridEvery w:val="2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UzZjJiNDZmYTY3NGVkZGY1NjNlNzdlNjVhYzg1ODYifQ=="/>
  </w:docVars>
  <w:rsids>
    <w:rsidRoot w:val="37EC40B1"/>
    <w:rsid w:val="00044069"/>
    <w:rsid w:val="000A1619"/>
    <w:rsid w:val="000C4BE4"/>
    <w:rsid w:val="000C57BB"/>
    <w:rsid w:val="000E1608"/>
    <w:rsid w:val="000E7D82"/>
    <w:rsid w:val="000F73C5"/>
    <w:rsid w:val="00211D05"/>
    <w:rsid w:val="00212719"/>
    <w:rsid w:val="00212975"/>
    <w:rsid w:val="00264AF9"/>
    <w:rsid w:val="002B314C"/>
    <w:rsid w:val="002E353D"/>
    <w:rsid w:val="002F3723"/>
    <w:rsid w:val="003301E7"/>
    <w:rsid w:val="00341623"/>
    <w:rsid w:val="003E5B51"/>
    <w:rsid w:val="003F2B61"/>
    <w:rsid w:val="004102EB"/>
    <w:rsid w:val="00432A0F"/>
    <w:rsid w:val="00432A9E"/>
    <w:rsid w:val="00443652"/>
    <w:rsid w:val="00444C99"/>
    <w:rsid w:val="00474FE7"/>
    <w:rsid w:val="004B05A6"/>
    <w:rsid w:val="004B68EA"/>
    <w:rsid w:val="004C72D3"/>
    <w:rsid w:val="004D75B6"/>
    <w:rsid w:val="00537ED1"/>
    <w:rsid w:val="00562033"/>
    <w:rsid w:val="00573627"/>
    <w:rsid w:val="00581245"/>
    <w:rsid w:val="00594513"/>
    <w:rsid w:val="005E712F"/>
    <w:rsid w:val="005E78CE"/>
    <w:rsid w:val="00640EEB"/>
    <w:rsid w:val="00656D62"/>
    <w:rsid w:val="00682A0B"/>
    <w:rsid w:val="006B2B30"/>
    <w:rsid w:val="006E7857"/>
    <w:rsid w:val="00705CAA"/>
    <w:rsid w:val="007206DC"/>
    <w:rsid w:val="00755B2B"/>
    <w:rsid w:val="00762D4D"/>
    <w:rsid w:val="007739D1"/>
    <w:rsid w:val="00786E22"/>
    <w:rsid w:val="0079111D"/>
    <w:rsid w:val="00791CDD"/>
    <w:rsid w:val="00842015"/>
    <w:rsid w:val="008443C5"/>
    <w:rsid w:val="00851BFB"/>
    <w:rsid w:val="00867BCB"/>
    <w:rsid w:val="00894DFE"/>
    <w:rsid w:val="008D480C"/>
    <w:rsid w:val="009069E1"/>
    <w:rsid w:val="00947903"/>
    <w:rsid w:val="0097034D"/>
    <w:rsid w:val="009934B6"/>
    <w:rsid w:val="009B1108"/>
    <w:rsid w:val="00B04D3F"/>
    <w:rsid w:val="00B71DFB"/>
    <w:rsid w:val="00B9633D"/>
    <w:rsid w:val="00BA2F45"/>
    <w:rsid w:val="00BD4BB6"/>
    <w:rsid w:val="00BD64B6"/>
    <w:rsid w:val="00BF0693"/>
    <w:rsid w:val="00BF2793"/>
    <w:rsid w:val="00BF7CF3"/>
    <w:rsid w:val="00C13BB2"/>
    <w:rsid w:val="00C21E66"/>
    <w:rsid w:val="00C51D11"/>
    <w:rsid w:val="00C71B8D"/>
    <w:rsid w:val="00C76BB7"/>
    <w:rsid w:val="00CA009E"/>
    <w:rsid w:val="00CA584E"/>
    <w:rsid w:val="00CA631E"/>
    <w:rsid w:val="00CE3806"/>
    <w:rsid w:val="00D05DED"/>
    <w:rsid w:val="00D119B4"/>
    <w:rsid w:val="00D32FF4"/>
    <w:rsid w:val="00D607FE"/>
    <w:rsid w:val="00D7447E"/>
    <w:rsid w:val="00D80893"/>
    <w:rsid w:val="00D93914"/>
    <w:rsid w:val="00DA13E3"/>
    <w:rsid w:val="00DD467A"/>
    <w:rsid w:val="00DE7F53"/>
    <w:rsid w:val="00E365B1"/>
    <w:rsid w:val="00EB58DA"/>
    <w:rsid w:val="00EE2C54"/>
    <w:rsid w:val="00EF16FF"/>
    <w:rsid w:val="00F0532B"/>
    <w:rsid w:val="00F272B7"/>
    <w:rsid w:val="00F84CA3"/>
    <w:rsid w:val="01352967"/>
    <w:rsid w:val="018C77EA"/>
    <w:rsid w:val="03195159"/>
    <w:rsid w:val="04131BA8"/>
    <w:rsid w:val="06BD404D"/>
    <w:rsid w:val="088D05D1"/>
    <w:rsid w:val="093B7C41"/>
    <w:rsid w:val="0ACB1668"/>
    <w:rsid w:val="0F9467DE"/>
    <w:rsid w:val="10593038"/>
    <w:rsid w:val="17B04EAD"/>
    <w:rsid w:val="18807C6B"/>
    <w:rsid w:val="1A6A6061"/>
    <w:rsid w:val="1AAC764B"/>
    <w:rsid w:val="1B2F6CCA"/>
    <w:rsid w:val="1BC42285"/>
    <w:rsid w:val="1C746B04"/>
    <w:rsid w:val="1E423E22"/>
    <w:rsid w:val="1EBA7398"/>
    <w:rsid w:val="20F621DE"/>
    <w:rsid w:val="22A5255D"/>
    <w:rsid w:val="23EC069C"/>
    <w:rsid w:val="23F23130"/>
    <w:rsid w:val="246D00F4"/>
    <w:rsid w:val="26EE0F6E"/>
    <w:rsid w:val="2A691C72"/>
    <w:rsid w:val="2AE5754B"/>
    <w:rsid w:val="2C0C6063"/>
    <w:rsid w:val="2D3B5B6C"/>
    <w:rsid w:val="2EC708BB"/>
    <w:rsid w:val="33354DE7"/>
    <w:rsid w:val="33D309A5"/>
    <w:rsid w:val="36A30297"/>
    <w:rsid w:val="36D44917"/>
    <w:rsid w:val="37E172EC"/>
    <w:rsid w:val="37EC40B1"/>
    <w:rsid w:val="38966AAD"/>
    <w:rsid w:val="3AFE01B5"/>
    <w:rsid w:val="3B0A6B5A"/>
    <w:rsid w:val="3BAD7BF5"/>
    <w:rsid w:val="3FD533D3"/>
    <w:rsid w:val="41881B6A"/>
    <w:rsid w:val="442D0402"/>
    <w:rsid w:val="46FB4488"/>
    <w:rsid w:val="483C4A0D"/>
    <w:rsid w:val="4EF37BD9"/>
    <w:rsid w:val="51042BA9"/>
    <w:rsid w:val="51644DBE"/>
    <w:rsid w:val="525E180D"/>
    <w:rsid w:val="552F7491"/>
    <w:rsid w:val="569122EA"/>
    <w:rsid w:val="56E542AB"/>
    <w:rsid w:val="57BB325E"/>
    <w:rsid w:val="58793764"/>
    <w:rsid w:val="5BFB6F81"/>
    <w:rsid w:val="5BFF5B2E"/>
    <w:rsid w:val="5C4C6CD0"/>
    <w:rsid w:val="5D1F603D"/>
    <w:rsid w:val="5D64156A"/>
    <w:rsid w:val="5E2733FB"/>
    <w:rsid w:val="5F9E76ED"/>
    <w:rsid w:val="5FB07420"/>
    <w:rsid w:val="600F2399"/>
    <w:rsid w:val="61EC516C"/>
    <w:rsid w:val="627E4BA4"/>
    <w:rsid w:val="62826EDC"/>
    <w:rsid w:val="640B0B63"/>
    <w:rsid w:val="651E3CF7"/>
    <w:rsid w:val="673D2558"/>
    <w:rsid w:val="67B31C8A"/>
    <w:rsid w:val="69BD2E65"/>
    <w:rsid w:val="6C007039"/>
    <w:rsid w:val="70C43143"/>
    <w:rsid w:val="70D0075C"/>
    <w:rsid w:val="77796A2D"/>
    <w:rsid w:val="77F959B0"/>
    <w:rsid w:val="7844304C"/>
    <w:rsid w:val="7A441E15"/>
    <w:rsid w:val="7AF95D1E"/>
    <w:rsid w:val="7C626634"/>
    <w:rsid w:val="7E3D708B"/>
    <w:rsid w:val="7F6F79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qFormat="1" w:uiPriority="99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autoRedefine/>
    <w:qFormat/>
    <w:uiPriority w:val="0"/>
    <w:pPr>
      <w:spacing w:beforeAutospacing="1" w:afterAutospacing="1"/>
      <w:jc w:val="left"/>
      <w:outlineLvl w:val="0"/>
    </w:pPr>
    <w:rPr>
      <w:rFonts w:hint="eastAsia" w:ascii="宋体" w:hAnsi="宋体" w:eastAsia="宋体" w:cs="Times New Roman"/>
      <w:b/>
      <w:bCs/>
      <w:kern w:val="44"/>
      <w:sz w:val="48"/>
      <w:szCs w:val="48"/>
    </w:rPr>
  </w:style>
  <w:style w:type="character" w:default="1" w:styleId="12">
    <w:name w:val="Default Paragraph Font"/>
    <w:semiHidden/>
    <w:unhideWhenUsed/>
    <w:qFormat/>
    <w:uiPriority w:val="1"/>
  </w:style>
  <w:style w:type="table" w:default="1" w:styleId="11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Indent"/>
    <w:basedOn w:val="1"/>
    <w:qFormat/>
    <w:uiPriority w:val="0"/>
    <w:pPr>
      <w:ind w:firstLine="420" w:firstLineChars="200"/>
    </w:pPr>
    <w:rPr>
      <w:rFonts w:eastAsia="仿宋"/>
      <w:sz w:val="32"/>
    </w:rPr>
  </w:style>
  <w:style w:type="paragraph" w:styleId="4">
    <w:name w:val="Body Text"/>
    <w:basedOn w:val="1"/>
    <w:next w:val="1"/>
    <w:autoRedefine/>
    <w:qFormat/>
    <w:uiPriority w:val="0"/>
    <w:pPr>
      <w:spacing w:after="120"/>
    </w:pPr>
    <w:rPr>
      <w:rFonts w:ascii="Times New Roman" w:hAnsi="Times New Roman" w:eastAsia="宋体" w:cs="Times New Roman"/>
    </w:rPr>
  </w:style>
  <w:style w:type="paragraph" w:styleId="5">
    <w:name w:val="Body Text Indent 2"/>
    <w:basedOn w:val="1"/>
    <w:link w:val="16"/>
    <w:autoRedefine/>
    <w:unhideWhenUsed/>
    <w:qFormat/>
    <w:uiPriority w:val="99"/>
    <w:pPr>
      <w:spacing w:after="120" w:line="480" w:lineRule="auto"/>
      <w:ind w:left="420" w:leftChars="200"/>
    </w:pPr>
    <w:rPr>
      <w:rFonts w:ascii="Times New Roman" w:hAnsi="Times New Roman" w:eastAsia="宋体" w:cs="Times New Roman"/>
    </w:rPr>
  </w:style>
  <w:style w:type="paragraph" w:styleId="6">
    <w:name w:val="Balloon Text"/>
    <w:basedOn w:val="1"/>
    <w:link w:val="17"/>
    <w:qFormat/>
    <w:uiPriority w:val="0"/>
    <w:rPr>
      <w:sz w:val="18"/>
      <w:szCs w:val="18"/>
    </w:rPr>
  </w:style>
  <w:style w:type="paragraph" w:styleId="7">
    <w:name w:val="footer"/>
    <w:basedOn w:val="1"/>
    <w:link w:val="15"/>
    <w:autoRedefine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link w:val="14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Normal (Web)"/>
    <w:basedOn w:val="1"/>
    <w:autoRedefine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paragraph" w:styleId="10">
    <w:name w:val="Body Text First Indent"/>
    <w:basedOn w:val="4"/>
    <w:next w:val="1"/>
    <w:autoRedefine/>
    <w:qFormat/>
    <w:uiPriority w:val="0"/>
    <w:pPr>
      <w:ind w:firstLine="420" w:firstLineChars="100"/>
    </w:pPr>
  </w:style>
  <w:style w:type="character" w:styleId="13">
    <w:name w:val="Strong"/>
    <w:basedOn w:val="12"/>
    <w:qFormat/>
    <w:uiPriority w:val="0"/>
    <w:rPr>
      <w:b/>
    </w:rPr>
  </w:style>
  <w:style w:type="character" w:customStyle="1" w:styleId="14">
    <w:name w:val="页眉 Char"/>
    <w:basedOn w:val="12"/>
    <w:link w:val="8"/>
    <w:autoRedefine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5">
    <w:name w:val="页脚 Char"/>
    <w:basedOn w:val="12"/>
    <w:link w:val="7"/>
    <w:autoRedefine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6">
    <w:name w:val="正文文本缩进 2 Char"/>
    <w:basedOn w:val="12"/>
    <w:link w:val="5"/>
    <w:autoRedefine/>
    <w:qFormat/>
    <w:uiPriority w:val="99"/>
    <w:rPr>
      <w:kern w:val="2"/>
      <w:sz w:val="21"/>
      <w:szCs w:val="24"/>
    </w:rPr>
  </w:style>
  <w:style w:type="character" w:customStyle="1" w:styleId="17">
    <w:name w:val="批注框文本 Char"/>
    <w:basedOn w:val="12"/>
    <w:link w:val="6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paragraph" w:customStyle="1" w:styleId="18">
    <w:name w:val="列出段落1"/>
    <w:basedOn w:val="1"/>
    <w:qFormat/>
    <w:uiPriority w:val="0"/>
    <w:pPr>
      <w:ind w:firstLine="420" w:firstLineChars="200"/>
    </w:pPr>
    <w:rPr>
      <w:rFonts w:ascii="Calibri" w:hAnsi="Calibri" w:cs="宋体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Organization</Company>
  <Pages>7</Pages>
  <Words>4068</Words>
  <Characters>4189</Characters>
  <Lines>30</Lines>
  <Paragraphs>8</Paragraphs>
  <TotalTime>50</TotalTime>
  <ScaleCrop>false</ScaleCrop>
  <LinksUpToDate>false</LinksUpToDate>
  <CharactersWithSpaces>4191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2023-03-30T08:38:00Z</dcterms:created>
  <dc:creator>Administrator</dc:creator>
  <cp:lastModifiedBy>水木清华</cp:lastModifiedBy>
  <cp:lastPrinted>2023-12-27T01:46:00Z</cp:lastPrinted>
  <dcterms:modified xsi:type="dcterms:W3CDTF">2026-01-09T03:30:25Z</dcterms:modified>
  <cp:revision>86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A9D7112C292D4388ADE165692B84F1CB_13</vt:lpwstr>
  </property>
  <property fmtid="{D5CDD505-2E9C-101B-9397-08002B2CF9AE}" pid="4" name="KSOTemplateDocerSaveRecord">
    <vt:lpwstr>eyJoZGlkIjoiOTVkNjM0ODRmMjU1MDRhYmQxNjAwYTNiNTc0MjgzOWUiLCJ1c2VySWQiOiI0Nzk1Nzg3NjQifQ==</vt:lpwstr>
  </property>
</Properties>
</file>